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CF" w:rsidRDefault="004939CF" w:rsidP="004939CF">
      <w:pPr>
        <w:pStyle w:val="xmsonormal"/>
        <w:shd w:val="clear" w:color="auto" w:fill="FFFFFF"/>
        <w:spacing w:before="0" w:beforeAutospacing="0" w:after="0" w:afterAutospacing="0"/>
        <w:rPr>
          <w:rFonts w:ascii="Cambria" w:hAnsi="Cambria"/>
          <w:color w:val="212121"/>
          <w:sz w:val="24"/>
          <w:szCs w:val="24"/>
        </w:rPr>
      </w:pPr>
      <w:r>
        <w:rPr>
          <w:rFonts w:ascii="Cambria" w:hAnsi="Cambria"/>
          <w:color w:val="212121"/>
          <w:sz w:val="24"/>
          <w:szCs w:val="24"/>
        </w:rPr>
        <w:t xml:space="preserve">NAME: </w:t>
      </w:r>
      <w:bookmarkStart w:id="0" w:name="_GoBack"/>
      <w:r>
        <w:rPr>
          <w:rFonts w:ascii="Cambria" w:hAnsi="Cambria"/>
          <w:color w:val="212121"/>
          <w:sz w:val="24"/>
          <w:szCs w:val="24"/>
        </w:rPr>
        <w:t xml:space="preserve">Prof. Peter </w:t>
      </w:r>
      <w:proofErr w:type="spellStart"/>
      <w:r>
        <w:rPr>
          <w:rFonts w:ascii="Cambria" w:hAnsi="Cambria"/>
          <w:color w:val="212121"/>
          <w:sz w:val="24"/>
          <w:szCs w:val="24"/>
        </w:rPr>
        <w:t>Hadreas</w:t>
      </w:r>
      <w:bookmarkEnd w:id="0"/>
      <w:proofErr w:type="spellEnd"/>
    </w:p>
    <w:p w:rsidR="004939CF" w:rsidRDefault="004939CF" w:rsidP="004939CF">
      <w:pPr>
        <w:pStyle w:val="xmsonormal"/>
        <w:shd w:val="clear" w:color="auto" w:fill="FFFFFF"/>
        <w:spacing w:before="0" w:beforeAutospacing="0" w:after="0" w:afterAutospacing="0"/>
        <w:rPr>
          <w:rFonts w:ascii="Cambria" w:hAnsi="Cambria"/>
          <w:color w:val="212121"/>
          <w:sz w:val="24"/>
          <w:szCs w:val="24"/>
        </w:rPr>
      </w:pPr>
      <w:r>
        <w:rPr>
          <w:rFonts w:ascii="Cambria" w:hAnsi="Cambria"/>
          <w:color w:val="212121"/>
          <w:sz w:val="24"/>
          <w:szCs w:val="24"/>
        </w:rPr>
        <w:t>INSTITUTIONAL AFFILIATION: Department of Philosophy, San José State University, </w:t>
      </w:r>
    </w:p>
    <w:p w:rsidR="004939CF" w:rsidRDefault="004939CF" w:rsidP="004939CF">
      <w:pPr>
        <w:pStyle w:val="xmsonormal"/>
        <w:shd w:val="clear" w:color="auto" w:fill="FFFFFF"/>
        <w:spacing w:before="0" w:beforeAutospacing="0" w:after="0" w:afterAutospacing="0"/>
        <w:rPr>
          <w:rFonts w:ascii="Cambria" w:hAnsi="Cambria"/>
          <w:color w:val="212121"/>
          <w:sz w:val="24"/>
          <w:szCs w:val="24"/>
        </w:rPr>
      </w:pPr>
      <w:r>
        <w:rPr>
          <w:rFonts w:ascii="Cambria" w:hAnsi="Cambria"/>
          <w:color w:val="212121"/>
          <w:sz w:val="24"/>
          <w:szCs w:val="24"/>
        </w:rPr>
        <w:t>      One Washington Square, San Jose, CA 95192-0096.</w:t>
      </w:r>
    </w:p>
    <w:p w:rsidR="004939CF" w:rsidRDefault="004939CF" w:rsidP="004939CF">
      <w:pPr>
        <w:pStyle w:val="xmsonormal"/>
        <w:shd w:val="clear" w:color="auto" w:fill="FFFFFF"/>
        <w:spacing w:before="0" w:beforeAutospacing="0" w:after="0" w:afterAutospacing="0"/>
        <w:rPr>
          <w:rFonts w:ascii="Cambria" w:hAnsi="Cambria"/>
          <w:color w:val="212121"/>
          <w:sz w:val="24"/>
          <w:szCs w:val="24"/>
        </w:rPr>
      </w:pPr>
      <w:r>
        <w:rPr>
          <w:rFonts w:ascii="Cambria" w:hAnsi="Cambria"/>
          <w:color w:val="212121"/>
          <w:sz w:val="24"/>
          <w:szCs w:val="24"/>
        </w:rPr>
        <w:t>CONTACT INFORMATION: </w:t>
      </w:r>
      <w:r>
        <w:rPr>
          <w:rFonts w:ascii="Cambria" w:hAnsi="Cambria"/>
          <w:color w:val="212121"/>
          <w:sz w:val="24"/>
          <w:szCs w:val="24"/>
        </w:rPr>
        <w:fldChar w:fldCharType="begin"/>
      </w:r>
      <w:r>
        <w:rPr>
          <w:rFonts w:ascii="Cambria" w:hAnsi="Cambria"/>
          <w:color w:val="212121"/>
          <w:sz w:val="24"/>
          <w:szCs w:val="24"/>
        </w:rPr>
        <w:instrText xml:space="preserve"> HYPERLINK "mailto:Peter.Hadreas@sjsu.edu" \t "_blank" </w:instrText>
      </w:r>
      <w:r>
        <w:rPr>
          <w:rFonts w:ascii="Cambria" w:hAnsi="Cambria"/>
          <w:color w:val="212121"/>
          <w:sz w:val="24"/>
          <w:szCs w:val="24"/>
        </w:rPr>
      </w:r>
      <w:r>
        <w:rPr>
          <w:rFonts w:ascii="Cambria" w:hAnsi="Cambria"/>
          <w:color w:val="212121"/>
          <w:sz w:val="24"/>
          <w:szCs w:val="24"/>
        </w:rPr>
        <w:fldChar w:fldCharType="separate"/>
      </w:r>
      <w:r>
        <w:rPr>
          <w:rStyle w:val="Hyperlink"/>
          <w:rFonts w:ascii="Cambria" w:hAnsi="Cambria"/>
          <w:sz w:val="24"/>
          <w:szCs w:val="24"/>
        </w:rPr>
        <w:t>Peter.Hadreas@sjsu.edu</w:t>
      </w:r>
      <w:r>
        <w:rPr>
          <w:rFonts w:ascii="Cambria" w:hAnsi="Cambria"/>
          <w:color w:val="212121"/>
          <w:sz w:val="24"/>
          <w:szCs w:val="24"/>
        </w:rPr>
        <w:fldChar w:fldCharType="end"/>
      </w:r>
    </w:p>
    <w:p w:rsidR="004939CF" w:rsidRDefault="004939CF" w:rsidP="004939CF">
      <w:pPr>
        <w:pStyle w:val="xmsonormal"/>
        <w:shd w:val="clear" w:color="auto" w:fill="FFFFFF"/>
        <w:spacing w:before="0" w:beforeAutospacing="0" w:after="0" w:afterAutospacing="0"/>
        <w:rPr>
          <w:rFonts w:ascii="Cambria" w:hAnsi="Cambria"/>
          <w:color w:val="212121"/>
          <w:sz w:val="24"/>
          <w:szCs w:val="24"/>
        </w:rPr>
      </w:pPr>
      <w:r>
        <w:rPr>
          <w:rFonts w:ascii="Cambria" w:hAnsi="Cambria"/>
          <w:color w:val="212121"/>
          <w:sz w:val="24"/>
          <w:szCs w:val="24"/>
        </w:rPr>
        <w:t xml:space="preserve">PAPER’S WORKING TITLE: A Juxtaposition of </w:t>
      </w:r>
      <w:proofErr w:type="spellStart"/>
      <w:r>
        <w:rPr>
          <w:rFonts w:ascii="Cambria" w:hAnsi="Cambria"/>
          <w:color w:val="212121"/>
          <w:sz w:val="24"/>
          <w:szCs w:val="24"/>
        </w:rPr>
        <w:t>Levinas</w:t>
      </w:r>
      <w:proofErr w:type="spellEnd"/>
      <w:r>
        <w:rPr>
          <w:rFonts w:ascii="Cambria" w:hAnsi="Cambria"/>
          <w:color w:val="212121"/>
          <w:sz w:val="24"/>
          <w:szCs w:val="24"/>
        </w:rPr>
        <w:t xml:space="preserve"> and Plotinus on Justice</w:t>
      </w:r>
    </w:p>
    <w:p w:rsidR="004939CF" w:rsidRDefault="004939CF" w:rsidP="004939CF">
      <w:pPr>
        <w:pStyle w:val="xmsonormal"/>
        <w:shd w:val="clear" w:color="auto" w:fill="FFFFFF"/>
        <w:spacing w:before="0" w:beforeAutospacing="0" w:after="0" w:afterAutospacing="0"/>
        <w:rPr>
          <w:rFonts w:ascii="Cambria" w:hAnsi="Cambria"/>
          <w:color w:val="212121"/>
          <w:sz w:val="24"/>
          <w:szCs w:val="24"/>
        </w:rPr>
      </w:pPr>
      <w:r>
        <w:rPr>
          <w:rFonts w:ascii="Cambria" w:hAnsi="Cambria"/>
          <w:color w:val="212121"/>
          <w:sz w:val="24"/>
          <w:szCs w:val="24"/>
        </w:rPr>
        <w:t>ABSTRACT:</w:t>
      </w:r>
    </w:p>
    <w:p w:rsidR="004939CF" w:rsidRDefault="004939CF" w:rsidP="004939CF">
      <w:pPr>
        <w:pStyle w:val="xmsonormal"/>
        <w:shd w:val="clear" w:color="auto" w:fill="FFFFFF"/>
        <w:spacing w:before="0" w:beforeAutospacing="0" w:after="0" w:afterAutospacing="0"/>
        <w:rPr>
          <w:rFonts w:ascii="Cambria" w:hAnsi="Cambria"/>
          <w:color w:val="212121"/>
          <w:sz w:val="24"/>
          <w:szCs w:val="24"/>
        </w:rPr>
      </w:pPr>
      <w:r>
        <w:rPr>
          <w:rFonts w:ascii="Cambria" w:hAnsi="Cambria"/>
          <w:color w:val="212121"/>
          <w:sz w:val="24"/>
          <w:szCs w:val="24"/>
        </w:rPr>
        <w:t> </w:t>
      </w:r>
    </w:p>
    <w:p w:rsidR="004939CF" w:rsidRDefault="004939CF" w:rsidP="004939CF">
      <w:pPr>
        <w:pStyle w:val="xmsonormal"/>
        <w:shd w:val="clear" w:color="auto" w:fill="FFFFFF"/>
        <w:spacing w:before="0" w:beforeAutospacing="0" w:after="0" w:afterAutospacing="0"/>
        <w:rPr>
          <w:rFonts w:ascii="Cambria" w:hAnsi="Cambria"/>
          <w:color w:val="212121"/>
          <w:sz w:val="24"/>
          <w:szCs w:val="24"/>
        </w:rPr>
      </w:pPr>
      <w:r>
        <w:rPr>
          <w:rFonts w:ascii="Cambria" w:hAnsi="Cambria"/>
          <w:color w:val="212121"/>
          <w:sz w:val="24"/>
          <w:szCs w:val="24"/>
        </w:rPr>
        <w:t>      In </w:t>
      </w:r>
      <w:r>
        <w:rPr>
          <w:rFonts w:ascii="Cambria" w:hAnsi="Cambria"/>
          <w:i/>
          <w:iCs/>
          <w:color w:val="212121"/>
          <w:sz w:val="24"/>
          <w:szCs w:val="24"/>
        </w:rPr>
        <w:t>Totality and Infinity</w:t>
      </w:r>
      <w:r>
        <w:rPr>
          <w:rFonts w:ascii="Cambria" w:hAnsi="Cambria"/>
          <w:color w:val="212121"/>
          <w:sz w:val="24"/>
          <w:szCs w:val="24"/>
        </w:rPr>
        <w:t>, Otherwise</w:t>
      </w:r>
      <w:r>
        <w:rPr>
          <w:rFonts w:ascii="Cambria" w:hAnsi="Cambria"/>
          <w:i/>
          <w:iCs/>
          <w:color w:val="212121"/>
          <w:sz w:val="24"/>
          <w:szCs w:val="24"/>
        </w:rPr>
        <w:t> than Being</w:t>
      </w:r>
      <w:r>
        <w:rPr>
          <w:rFonts w:ascii="Cambria" w:hAnsi="Cambria"/>
          <w:color w:val="212121"/>
          <w:sz w:val="24"/>
          <w:szCs w:val="24"/>
        </w:rPr>
        <w:t xml:space="preserve">, and other works, </w:t>
      </w:r>
      <w:proofErr w:type="spellStart"/>
      <w:r>
        <w:rPr>
          <w:rFonts w:ascii="Cambria" w:hAnsi="Cambria"/>
          <w:color w:val="212121"/>
          <w:sz w:val="24"/>
          <w:szCs w:val="24"/>
        </w:rPr>
        <w:t>Levinas</w:t>
      </w:r>
      <w:proofErr w:type="spellEnd"/>
      <w:r>
        <w:rPr>
          <w:rFonts w:ascii="Cambria" w:hAnsi="Cambria"/>
          <w:color w:val="212121"/>
          <w:sz w:val="24"/>
          <w:szCs w:val="24"/>
        </w:rPr>
        <w:t xml:space="preserve"> cites Plotinus along with Plato in conveying his fundamental doctrine of goodness beyond being. In this paper I would like to pursue the overlap between </w:t>
      </w:r>
      <w:proofErr w:type="spellStart"/>
      <w:r>
        <w:rPr>
          <w:rFonts w:ascii="Cambria" w:hAnsi="Cambria"/>
          <w:color w:val="212121"/>
          <w:sz w:val="24"/>
          <w:szCs w:val="24"/>
        </w:rPr>
        <w:t>Levinas</w:t>
      </w:r>
      <w:proofErr w:type="spellEnd"/>
      <w:r>
        <w:rPr>
          <w:rFonts w:ascii="Cambria" w:hAnsi="Cambria"/>
          <w:color w:val="212121"/>
          <w:sz w:val="24"/>
          <w:szCs w:val="24"/>
        </w:rPr>
        <w:t>’ thought and the Neo-Platonism of Plotinus as it has come down to us in the </w:t>
      </w:r>
      <w:r>
        <w:rPr>
          <w:rFonts w:ascii="Cambria" w:hAnsi="Cambria"/>
          <w:i/>
          <w:iCs/>
          <w:color w:val="212121"/>
          <w:sz w:val="24"/>
          <w:szCs w:val="24"/>
        </w:rPr>
        <w:t>Enneads</w:t>
      </w:r>
      <w:r>
        <w:rPr>
          <w:rFonts w:ascii="Cambria" w:hAnsi="Cambria"/>
          <w:color w:val="212121"/>
          <w:sz w:val="24"/>
          <w:szCs w:val="24"/>
        </w:rPr>
        <w:t xml:space="preserve">. I will especially focus on the </w:t>
      </w:r>
      <w:proofErr w:type="spellStart"/>
      <w:r>
        <w:rPr>
          <w:rFonts w:ascii="Cambria" w:hAnsi="Cambria"/>
          <w:color w:val="212121"/>
          <w:sz w:val="24"/>
          <w:szCs w:val="24"/>
        </w:rPr>
        <w:t>accordances</w:t>
      </w:r>
      <w:proofErr w:type="spellEnd"/>
      <w:r>
        <w:rPr>
          <w:rFonts w:ascii="Cambria" w:hAnsi="Cambria"/>
          <w:color w:val="212121"/>
          <w:sz w:val="24"/>
          <w:szCs w:val="24"/>
        </w:rPr>
        <w:t xml:space="preserve"> regarding justice. </w:t>
      </w:r>
    </w:p>
    <w:p w:rsidR="004939CF" w:rsidRDefault="004939CF" w:rsidP="004939CF">
      <w:pPr>
        <w:pStyle w:val="xmsonormal"/>
        <w:shd w:val="clear" w:color="auto" w:fill="FFFFFF"/>
        <w:spacing w:before="0" w:beforeAutospacing="0" w:after="0" w:afterAutospacing="0"/>
        <w:rPr>
          <w:rFonts w:ascii="Cambria" w:hAnsi="Cambria"/>
          <w:color w:val="212121"/>
          <w:sz w:val="24"/>
          <w:szCs w:val="24"/>
        </w:rPr>
      </w:pPr>
      <w:r>
        <w:rPr>
          <w:rFonts w:ascii="Cambria" w:hAnsi="Cambria"/>
          <w:color w:val="212121"/>
          <w:sz w:val="24"/>
          <w:szCs w:val="24"/>
        </w:rPr>
        <w:t xml:space="preserve">   The resonances between the two thinkers are legion: both insist on the active infinity of transcendent goodness; both understand it is made manifest </w:t>
      </w:r>
      <w:proofErr w:type="spellStart"/>
      <w:r>
        <w:rPr>
          <w:rFonts w:ascii="Cambria" w:hAnsi="Cambria"/>
          <w:color w:val="212121"/>
          <w:sz w:val="24"/>
          <w:szCs w:val="24"/>
        </w:rPr>
        <w:t>epiphanically</w:t>
      </w:r>
      <w:proofErr w:type="spellEnd"/>
      <w:r>
        <w:rPr>
          <w:rFonts w:ascii="Cambria" w:hAnsi="Cambria"/>
          <w:color w:val="212121"/>
          <w:sz w:val="24"/>
          <w:szCs w:val="24"/>
        </w:rPr>
        <w:t>; both understand that infinite goodness proceeds as an overflowing (French: </w:t>
      </w:r>
      <w:proofErr w:type="spellStart"/>
      <w:r>
        <w:rPr>
          <w:rFonts w:ascii="Cambria" w:hAnsi="Cambria"/>
          <w:i/>
          <w:iCs/>
          <w:color w:val="212121"/>
          <w:sz w:val="24"/>
          <w:szCs w:val="24"/>
        </w:rPr>
        <w:t>débordant</w:t>
      </w:r>
      <w:proofErr w:type="spellEnd"/>
      <w:r>
        <w:rPr>
          <w:rFonts w:ascii="Cambria" w:hAnsi="Cambria"/>
          <w:color w:val="212121"/>
          <w:sz w:val="24"/>
          <w:szCs w:val="24"/>
        </w:rPr>
        <w:t>; Greek: </w:t>
      </w:r>
      <w:r>
        <w:rPr>
          <w:rFonts w:ascii="Cambria" w:hAnsi="Cambria"/>
          <w:color w:val="212121"/>
          <w:sz w:val="24"/>
          <w:szCs w:val="24"/>
          <w:lang w:val="el-GR"/>
        </w:rPr>
        <w:t>δο</w:t>
      </w:r>
      <w:r>
        <w:rPr>
          <w:rFonts w:ascii="Palatino" w:hAnsi="Palatino" w:cs="Palatino"/>
          <w:color w:val="212121"/>
          <w:sz w:val="24"/>
          <w:szCs w:val="24"/>
          <w:lang w:val="el-GR"/>
        </w:rPr>
        <w:t>ὺ</w:t>
      </w:r>
      <w:r>
        <w:rPr>
          <w:rFonts w:ascii="Cambria" w:hAnsi="Cambria"/>
          <w:color w:val="212121"/>
          <w:sz w:val="24"/>
          <w:szCs w:val="24"/>
          <w:lang w:val="el-GR"/>
        </w:rPr>
        <w:t xml:space="preserve">ς </w:t>
      </w:r>
      <w:r>
        <w:rPr>
          <w:rFonts w:ascii="Palatino" w:hAnsi="Palatino" w:cs="Palatino"/>
          <w:color w:val="212121"/>
          <w:sz w:val="24"/>
          <w:szCs w:val="24"/>
          <w:lang w:val="el-GR"/>
        </w:rPr>
        <w:t>ἐ</w:t>
      </w:r>
      <w:r>
        <w:rPr>
          <w:rFonts w:ascii="Cambria" w:hAnsi="Cambria"/>
          <w:color w:val="212121"/>
          <w:sz w:val="24"/>
          <w:szCs w:val="24"/>
          <w:lang w:val="el-GR"/>
        </w:rPr>
        <w:t>ξ α</w:t>
      </w:r>
      <w:r>
        <w:rPr>
          <w:rFonts w:ascii="Palatino" w:hAnsi="Palatino" w:cs="Palatino"/>
          <w:color w:val="212121"/>
          <w:sz w:val="24"/>
          <w:szCs w:val="24"/>
          <w:lang w:val="el-GR"/>
        </w:rPr>
        <w:t>ὐ</w:t>
      </w:r>
      <w:r>
        <w:rPr>
          <w:rFonts w:ascii="Cambria" w:hAnsi="Cambria"/>
          <w:color w:val="212121"/>
          <w:sz w:val="24"/>
          <w:szCs w:val="24"/>
          <w:lang w:val="el-GR"/>
        </w:rPr>
        <w:t>το</w:t>
      </w:r>
      <w:r>
        <w:rPr>
          <w:rFonts w:ascii="Palatino" w:hAnsi="Palatino" w:cs="Palatino"/>
          <w:color w:val="212121"/>
          <w:sz w:val="24"/>
          <w:szCs w:val="24"/>
          <w:lang w:val="el-GR"/>
        </w:rPr>
        <w:t>ῦ</w:t>
      </w:r>
      <w:r>
        <w:rPr>
          <w:rFonts w:ascii="Cambria" w:hAnsi="Cambria"/>
          <w:color w:val="212121"/>
          <w:sz w:val="24"/>
          <w:szCs w:val="24"/>
          <w:lang w:val="el-GR"/>
        </w:rPr>
        <w:t xml:space="preserve">); both characterize the relation of the everyday world to the transcendent as a ‘trace.’ (Plotinus  relies on  the Greek, </w:t>
      </w:r>
      <w:r>
        <w:rPr>
          <w:rFonts w:ascii="Palatino" w:hAnsi="Palatino" w:cs="Palatino"/>
          <w:color w:val="212121"/>
          <w:sz w:val="24"/>
          <w:szCs w:val="24"/>
          <w:lang w:val="el-GR"/>
        </w:rPr>
        <w:t>ῖ</w:t>
      </w:r>
      <w:r>
        <w:rPr>
          <w:rFonts w:ascii="Cambria" w:hAnsi="Cambria"/>
          <w:color w:val="212121"/>
          <w:sz w:val="24"/>
          <w:szCs w:val="24"/>
          <w:lang w:val="el-GR"/>
        </w:rPr>
        <w:t>χνον,</w:t>
      </w:r>
      <w:r>
        <w:rPr>
          <w:rFonts w:ascii="Cambria" w:hAnsi="Cambria"/>
          <w:color w:val="212121"/>
          <w:sz w:val="24"/>
          <w:szCs w:val="24"/>
        </w:rPr>
        <w:t> meaning trace or footprint,</w:t>
      </w:r>
      <w:r>
        <w:rPr>
          <w:rFonts w:ascii="Cambria" w:hAnsi="Cambria"/>
          <w:color w:val="212121"/>
          <w:sz w:val="24"/>
          <w:szCs w:val="24"/>
          <w:lang w:val="el-GR"/>
        </w:rPr>
        <w:t> no less than fifty times in the </w:t>
      </w:r>
      <w:r>
        <w:rPr>
          <w:rFonts w:ascii="Cambria" w:hAnsi="Cambria"/>
          <w:i/>
          <w:iCs/>
          <w:color w:val="212121"/>
          <w:sz w:val="24"/>
          <w:szCs w:val="24"/>
          <w:lang w:val="el-GR"/>
        </w:rPr>
        <w:t>Enneads</w:t>
      </w:r>
      <w:r>
        <w:rPr>
          <w:rFonts w:ascii="Cambria" w:hAnsi="Cambria"/>
          <w:color w:val="212121"/>
          <w:sz w:val="24"/>
          <w:szCs w:val="24"/>
          <w:lang w:val="el-GR"/>
        </w:rPr>
        <w:t>.)</w:t>
      </w:r>
    </w:p>
    <w:p w:rsidR="004939CF" w:rsidRDefault="004939CF" w:rsidP="004939CF">
      <w:pPr>
        <w:pStyle w:val="xmsonormal"/>
        <w:shd w:val="clear" w:color="auto" w:fill="FFFFFF"/>
        <w:spacing w:before="0" w:beforeAutospacing="0" w:after="0" w:afterAutospacing="0"/>
        <w:rPr>
          <w:rFonts w:ascii="Cambria" w:hAnsi="Cambria"/>
          <w:color w:val="212121"/>
          <w:sz w:val="24"/>
          <w:szCs w:val="24"/>
        </w:rPr>
      </w:pPr>
      <w:r>
        <w:rPr>
          <w:rFonts w:ascii="Cambria" w:hAnsi="Cambria"/>
          <w:color w:val="212121"/>
          <w:sz w:val="24"/>
          <w:szCs w:val="24"/>
          <w:lang w:val="el-GR"/>
        </w:rPr>
        <w:t>    Plotinus’s account of absolute justice as the transcendent reflecting upon itself also correlates with Levinas on justice. Just how and how far that comparison may be drawn will be the topic of this paper.</w:t>
      </w:r>
    </w:p>
    <w:p w:rsidR="001F54C1" w:rsidRDefault="004939CF"/>
    <w:sectPr w:rsidR="001F54C1" w:rsidSect="00642C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CF"/>
    <w:rsid w:val="00101B57"/>
    <w:rsid w:val="004939CF"/>
    <w:rsid w:val="00642CE5"/>
    <w:rsid w:val="006F3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CD566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939CF"/>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4939C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939CF"/>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493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870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1210</Characters>
  <Application>Microsoft Macintosh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LeBeau</dc:creator>
  <cp:keywords/>
  <dc:description/>
  <cp:lastModifiedBy>Claire LeBeau</cp:lastModifiedBy>
  <cp:revision>1</cp:revision>
  <dcterms:created xsi:type="dcterms:W3CDTF">2018-08-02T20:19:00Z</dcterms:created>
  <dcterms:modified xsi:type="dcterms:W3CDTF">2018-08-02T20:20:00Z</dcterms:modified>
</cp:coreProperties>
</file>