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Patrick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magazine.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Hayford.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descriptors,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Rashad,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Jordan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credibility.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non-conference.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crumbled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mid-major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75%,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80%,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tournament.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newcomers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Kentucky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NBA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foremost,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reputation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supersedes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Tyrell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unconventional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Tyrell.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O'Brien's.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Tyrell,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Tyrell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heroic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sophomore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Tyrell,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scholarship.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transition?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participate.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golden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warriors.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Northwest?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Northwest,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anchored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language,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kindergarten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anchor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Gonzaga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Spokane,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employee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rivalry,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plaques,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Washington,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homecoming.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homecoming,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recruited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reputation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sidelines,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ticking.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emotionally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mistake,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encouragement.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corrective.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Jordan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Dallas,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administration,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hampered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Jordan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phenomenal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wingspan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Dovi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Lithuania.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Lithuania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Lithuanians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00:21:51].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left-handed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dribble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scholarships.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upsides.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scholarship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ceilings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Aaron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Matteau,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Delonte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Tyrell.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[Economou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00:00:23:18].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Hopkins.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Creighton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Marquette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Georgetown.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Gonzaga.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sophomores,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sophomores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seniors.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19.999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tournament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tournament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1967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basketball?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NBA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Gonzaga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campus.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$50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Leary: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 Hayford: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Coach-FullInterview-FInal-V2 (Completed  10/12/19)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21,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"https://www.rev.com/transcript-editor/shared/lqk9uyofaR4RUOvy7izpZItARKPeBbBz4GJEehK9_sQ-iGudfuJZO8ZQ3gnA6-hJoyRctp8np4uDez38WfLtAEKJIx4?loadFrom=DocumentHeaderDeepLink"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