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3752A" w14:textId="30287B88" w:rsidR="00074512" w:rsidRPr="000530E9" w:rsidRDefault="00074512" w:rsidP="000530E9">
      <w:pPr>
        <w:jc w:val="center"/>
        <w:rPr>
          <w:b/>
          <w:bCs/>
          <w:sz w:val="28"/>
          <w:szCs w:val="28"/>
        </w:rPr>
      </w:pPr>
      <w:r w:rsidRPr="00074512">
        <w:rPr>
          <w:b/>
          <w:bCs/>
          <w:sz w:val="28"/>
          <w:szCs w:val="28"/>
        </w:rPr>
        <w:t>The Basics of Chicago Manual of Style</w:t>
      </w:r>
      <w:r w:rsidR="006018F4">
        <w:rPr>
          <w:b/>
          <w:bCs/>
          <w:sz w:val="28"/>
          <w:szCs w:val="28"/>
        </w:rPr>
        <w:t xml:space="preserve"> 17th Edition</w:t>
      </w:r>
      <w:r>
        <w:rPr>
          <w:b/>
          <w:bCs/>
          <w:sz w:val="28"/>
          <w:szCs w:val="28"/>
        </w:rPr>
        <w:t>: Notes-Bibliography</w:t>
      </w:r>
      <w:r w:rsidR="006018F4">
        <w:rPr>
          <w:b/>
          <w:bCs/>
          <w:sz w:val="28"/>
          <w:szCs w:val="28"/>
        </w:rPr>
        <w:br/>
      </w:r>
    </w:p>
    <w:p w14:paraId="4047C2D2" w14:textId="5D411446" w:rsidR="00074512" w:rsidRPr="000530E9" w:rsidRDefault="000530E9" w:rsidP="00074512">
      <w:pPr>
        <w:rPr>
          <w:b/>
          <w:bCs/>
        </w:rPr>
      </w:pPr>
      <w:r>
        <w:t>The purpose of this worksheet in conjunction with the Chicago Author-Date system</w:t>
      </w:r>
      <w:r w:rsidR="00AF6392">
        <w:t xml:space="preserve"> worksheet</w:t>
      </w:r>
      <w:r>
        <w:t xml:space="preserve"> is to help those in the humanities or social sciences to better understand how and why Chicago Manual of Style is used in their </w:t>
      </w:r>
      <w:r w:rsidR="00AF6392">
        <w:t xml:space="preserve">respective </w:t>
      </w:r>
      <w:r>
        <w:t xml:space="preserve">disciplines. </w:t>
      </w:r>
      <w:r w:rsidR="00E64270">
        <w:br/>
      </w:r>
      <w:r w:rsidR="0078128D">
        <w:rPr>
          <w:b/>
          <w:bCs/>
        </w:rPr>
        <w:br/>
      </w:r>
      <w:r w:rsidR="00AC1F9E" w:rsidRPr="000530E9">
        <w:rPr>
          <w:b/>
          <w:bCs/>
        </w:rPr>
        <w:t>Things to know about the Chicago Notes and Bibliography (NB) system:</w:t>
      </w:r>
    </w:p>
    <w:p w14:paraId="31FFB382" w14:textId="7DC73866" w:rsidR="00AC1F9E" w:rsidRDefault="00AC1F9E" w:rsidP="00074512">
      <w:pPr>
        <w:pStyle w:val="ListParagraph"/>
        <w:numPr>
          <w:ilvl w:val="0"/>
          <w:numId w:val="1"/>
        </w:numPr>
      </w:pPr>
      <w:bookmarkStart w:id="0" w:name="_Hlk61255813"/>
      <w:r>
        <w:t>It is</w:t>
      </w:r>
      <w:r w:rsidR="00074512" w:rsidRPr="00074512">
        <w:t xml:space="preserve"> </w:t>
      </w:r>
      <w:bookmarkEnd w:id="0"/>
      <w:r w:rsidR="008062F9">
        <w:t>usually</w:t>
      </w:r>
      <w:r w:rsidR="00074512" w:rsidRPr="00074512">
        <w:t xml:space="preserve"> used in the humanities </w:t>
      </w:r>
      <w:proofErr w:type="gramStart"/>
      <w:r w:rsidR="008062F9">
        <w:t>as</w:t>
      </w:r>
      <w:r w:rsidR="00074512" w:rsidRPr="00074512">
        <w:t xml:space="preserve"> </w:t>
      </w:r>
      <w:r w:rsidR="008062F9">
        <w:t>a way to</w:t>
      </w:r>
      <w:proofErr w:type="gramEnd"/>
      <w:r w:rsidR="00074512" w:rsidRPr="00074512">
        <w:t xml:space="preserve"> referen</w:t>
      </w:r>
      <w:r w:rsidR="008062F9">
        <w:t xml:space="preserve">ce </w:t>
      </w:r>
      <w:r w:rsidR="00074512" w:rsidRPr="00074512">
        <w:t>source</w:t>
      </w:r>
      <w:r w:rsidR="008062F9">
        <w:t>s</w:t>
      </w:r>
      <w:r w:rsidR="000530E9">
        <w:t xml:space="preserve"> in a writer’s work</w:t>
      </w:r>
      <w:r w:rsidR="008062F9">
        <w:t xml:space="preserve">. </w:t>
      </w:r>
    </w:p>
    <w:p w14:paraId="631CAAE9" w14:textId="06EEBBE0" w:rsidR="008062F9" w:rsidRDefault="00AC1F9E" w:rsidP="00AC1F9E">
      <w:pPr>
        <w:pStyle w:val="ListParagraph"/>
        <w:numPr>
          <w:ilvl w:val="0"/>
          <w:numId w:val="1"/>
        </w:numPr>
      </w:pPr>
      <w:r>
        <w:t>F</w:t>
      </w:r>
      <w:r w:rsidR="00074512" w:rsidRPr="00074512">
        <w:t>ootnotes</w:t>
      </w:r>
      <w:r w:rsidR="008062F9">
        <w:t xml:space="preserve"> or </w:t>
      </w:r>
      <w:r w:rsidR="00074512" w:rsidRPr="00074512">
        <w:t>endnotes</w:t>
      </w:r>
      <w:r>
        <w:t xml:space="preserve"> are used throughout or at the end of essays</w:t>
      </w:r>
      <w:r w:rsidR="008062F9">
        <w:t xml:space="preserve"> </w:t>
      </w:r>
      <w:r w:rsidR="00074512" w:rsidRPr="00074512">
        <w:t>and a bibliography</w:t>
      </w:r>
      <w:r w:rsidR="008062F9">
        <w:t xml:space="preserve"> or reference page</w:t>
      </w:r>
      <w:r>
        <w:t xml:space="preserve"> follows</w:t>
      </w:r>
      <w:r w:rsidR="00074512" w:rsidRPr="00074512">
        <w:t xml:space="preserve">. </w:t>
      </w:r>
      <w:r w:rsidR="008062F9">
        <w:t>Footnotes and endnotes</w:t>
      </w:r>
      <w:r>
        <w:t xml:space="preserve"> make it so the writer can annotate </w:t>
      </w:r>
      <w:r w:rsidR="008062F9">
        <w:t xml:space="preserve">their </w:t>
      </w:r>
      <w:r w:rsidR="00074512" w:rsidRPr="00074512">
        <w:t xml:space="preserve">sources. </w:t>
      </w:r>
    </w:p>
    <w:p w14:paraId="0FAA2445" w14:textId="5ECB95F1" w:rsidR="00AC1F9E" w:rsidRDefault="00AC1F9E" w:rsidP="00AC1F9E">
      <w:pPr>
        <w:pStyle w:val="ListParagraph"/>
        <w:numPr>
          <w:ilvl w:val="0"/>
          <w:numId w:val="1"/>
        </w:numPr>
      </w:pPr>
      <w:r>
        <w:t xml:space="preserve">By using the NB system, a writer can demonstrate their credibility by providing an “evidence trail” for readers to follow. It can also protect the writer from </w:t>
      </w:r>
      <w:r w:rsidR="000530E9">
        <w:t>being accused of plagiarism.</w:t>
      </w:r>
    </w:p>
    <w:p w14:paraId="09F02499" w14:textId="44E0B04A" w:rsidR="000530E9" w:rsidRDefault="000530E9" w:rsidP="000530E9">
      <w:pPr>
        <w:rPr>
          <w:b/>
          <w:bCs/>
        </w:rPr>
      </w:pPr>
      <w:r>
        <w:rPr>
          <w:b/>
          <w:bCs/>
        </w:rPr>
        <w:t>Footnote</w:t>
      </w:r>
      <w:r w:rsidR="006018F4">
        <w:rPr>
          <w:b/>
          <w:bCs/>
        </w:rPr>
        <w:t xml:space="preserve">s and </w:t>
      </w:r>
      <w:r>
        <w:rPr>
          <w:b/>
          <w:bCs/>
        </w:rPr>
        <w:t>Endnote</w:t>
      </w:r>
      <w:r w:rsidR="006018F4">
        <w:rPr>
          <w:b/>
          <w:bCs/>
        </w:rPr>
        <w:t>s</w:t>
      </w:r>
    </w:p>
    <w:p w14:paraId="7AD7EBE2" w14:textId="0F2751CB" w:rsidR="006018F4" w:rsidRDefault="00E71B3C" w:rsidP="006018F4">
      <w:pPr>
        <w:pStyle w:val="ListParagraph"/>
        <w:numPr>
          <w:ilvl w:val="0"/>
          <w:numId w:val="2"/>
        </w:numPr>
      </w:pPr>
      <w:r>
        <w:t>Using footnotes or endnotes is usually a matter of preference either of the writer or their professor. Both complete the function of providing references throughout an essay</w:t>
      </w:r>
      <w:r w:rsidR="009C0AFB">
        <w:t xml:space="preserve"> by including </w:t>
      </w:r>
      <w:r w:rsidR="00B8533F">
        <w:t xml:space="preserve">the </w:t>
      </w:r>
      <w:r w:rsidR="0028526D" w:rsidRPr="0028526D">
        <w:t xml:space="preserve">author’s name, </w:t>
      </w:r>
      <w:r w:rsidR="0028526D">
        <w:t>the source’s</w:t>
      </w:r>
      <w:r w:rsidR="0028526D" w:rsidRPr="0028526D">
        <w:t xml:space="preserve"> title,</w:t>
      </w:r>
      <w:r w:rsidR="0028526D">
        <w:t xml:space="preserve"> </w:t>
      </w:r>
      <w:r w:rsidR="0028526D" w:rsidRPr="0028526D">
        <w:t>publication</w:t>
      </w:r>
      <w:r w:rsidR="0028526D">
        <w:t xml:space="preserve"> information, and any other relevant information</w:t>
      </w:r>
      <w:r w:rsidR="0028526D" w:rsidRPr="0028526D">
        <w:t>.</w:t>
      </w:r>
    </w:p>
    <w:p w14:paraId="0B980031" w14:textId="53F22361" w:rsidR="0028526D" w:rsidRDefault="0028526D" w:rsidP="0028526D">
      <w:pPr>
        <w:pStyle w:val="ListParagraph"/>
        <w:numPr>
          <w:ilvl w:val="0"/>
          <w:numId w:val="2"/>
        </w:numPr>
      </w:pPr>
      <w:r>
        <w:t>Where</w:t>
      </w:r>
      <w:r w:rsidRPr="0028526D">
        <w:t xml:space="preserve"> the reference can </w:t>
      </w:r>
      <w:r>
        <w:t>be found in the source should be included</w:t>
      </w:r>
      <w:r w:rsidR="00B8533F">
        <w:t xml:space="preserve"> if </w:t>
      </w:r>
      <w:proofErr w:type="gramStart"/>
      <w:r w:rsidR="00B8533F">
        <w:t>possible</w:t>
      </w:r>
      <w:proofErr w:type="gramEnd"/>
      <w:r>
        <w:t xml:space="preserve"> as well. This can</w:t>
      </w:r>
      <w:r w:rsidRPr="0028526D">
        <w:t xml:space="preserve"> be a page number, a URL, or anything else deemed appropriate by your professor depending on what sources you are working with. </w:t>
      </w:r>
    </w:p>
    <w:p w14:paraId="4C74DBFE" w14:textId="5C3CCA6F" w:rsidR="00DB4C7C" w:rsidRDefault="00E71B3C" w:rsidP="00DB4C7C">
      <w:pPr>
        <w:pStyle w:val="ListParagraph"/>
        <w:numPr>
          <w:ilvl w:val="0"/>
          <w:numId w:val="2"/>
        </w:numPr>
      </w:pPr>
      <w:r>
        <w:t>The key differences between the two are that footnotes appear at the bottom of each page where a reference is used while endnotes are listed at the end of an essay</w:t>
      </w:r>
      <w:r w:rsidR="00B8533F">
        <w:t xml:space="preserve"> and before the bibliography or reference page</w:t>
      </w:r>
      <w:r>
        <w:t xml:space="preserve">. </w:t>
      </w:r>
    </w:p>
    <w:p w14:paraId="5A25E692" w14:textId="46B1F5EE" w:rsidR="000359DC" w:rsidRDefault="00E71B3C" w:rsidP="00E64270">
      <w:pPr>
        <w:pStyle w:val="ListParagraph"/>
        <w:numPr>
          <w:ilvl w:val="0"/>
          <w:numId w:val="2"/>
        </w:numPr>
      </w:pPr>
      <w:r>
        <w:t xml:space="preserve">Regardless of which is used, a superscript number must come at the end of every sentence that has a reference. This </w:t>
      </w:r>
      <w:r w:rsidR="007B50AF">
        <w:t xml:space="preserve">number </w:t>
      </w:r>
      <w:r w:rsidR="0028526D">
        <w:t xml:space="preserve">must </w:t>
      </w:r>
      <w:r>
        <w:t xml:space="preserve">correspond with </w:t>
      </w:r>
      <w:r w:rsidR="00B8533F">
        <w:t>the appropriate</w:t>
      </w:r>
      <w:r>
        <w:t xml:space="preserve"> </w:t>
      </w:r>
      <w:r w:rsidR="00B8533F">
        <w:t>foot</w:t>
      </w:r>
      <w:r>
        <w:t>note</w:t>
      </w:r>
      <w:r w:rsidR="00B8533F">
        <w:t xml:space="preserve"> or endnote</w:t>
      </w:r>
      <w:r>
        <w:t xml:space="preserve">. </w:t>
      </w:r>
      <w:r w:rsidR="00DB4C7C">
        <w:t xml:space="preserve">A comma should come between each piece of information and end with a period and </w:t>
      </w:r>
      <w:r w:rsidR="00DB4C7C" w:rsidRPr="00954AA3">
        <w:t>publication information should be in parentheses</w:t>
      </w:r>
      <w:r w:rsidR="00DB4C7C">
        <w:t>.</w:t>
      </w:r>
      <w:r w:rsidR="000359DC">
        <w:t xml:space="preserve"> Each footnote should be indented when listed at the bottom of the page.</w:t>
      </w:r>
    </w:p>
    <w:p w14:paraId="46FB8C2F" w14:textId="2A5DCDDC" w:rsidR="00B8533F" w:rsidRDefault="00D4795A" w:rsidP="00E64270">
      <w:pPr>
        <w:pStyle w:val="ListParagraph"/>
        <w:numPr>
          <w:ilvl w:val="0"/>
          <w:numId w:val="2"/>
        </w:numPr>
      </w:pPr>
      <w:r>
        <w:t>Here are some examples:</w:t>
      </w:r>
      <w:r w:rsidR="00E64270">
        <w:br/>
      </w:r>
      <w:r w:rsidR="00E64270">
        <w:br/>
      </w:r>
      <w:r w:rsidR="00B8533F">
        <w:t>Sentences from an essay:</w:t>
      </w:r>
    </w:p>
    <w:p w14:paraId="38846B29" w14:textId="1022588C" w:rsidR="000F0F78" w:rsidRDefault="000F0F78" w:rsidP="000F0F78">
      <w:pPr>
        <w:pStyle w:val="ListParagraph"/>
        <w:numPr>
          <w:ilvl w:val="0"/>
          <w:numId w:val="5"/>
        </w:numPr>
      </w:pPr>
      <w:r w:rsidRPr="000F0F78">
        <w:t xml:space="preserve">There is evidence that as early as the late 40s AD cereals were being grown and there were paddocks for cattle and </w:t>
      </w:r>
      <w:r w:rsidR="00B8533F" w:rsidRPr="000F0F78">
        <w:t>sheep.</w:t>
      </w:r>
      <w:r w:rsidR="00B8533F" w:rsidRPr="00B8533F">
        <w:rPr>
          <w:i/>
          <w:iCs/>
          <w:u w:val="single"/>
        </w:rPr>
        <w:t xml:space="preserve"> ¹</w:t>
      </w:r>
    </w:p>
    <w:p w14:paraId="1863CFCC" w14:textId="2CA37462" w:rsidR="00DB4C7C" w:rsidRDefault="009C0AFB" w:rsidP="00DB4C7C">
      <w:pPr>
        <w:pStyle w:val="ListParagraph"/>
        <w:numPr>
          <w:ilvl w:val="0"/>
          <w:numId w:val="5"/>
        </w:numPr>
      </w:pPr>
      <w:r w:rsidRPr="009C0AFB">
        <w:t>Many castles were commissioned by William the Conqueror himself only a couple years after his arrival, one of which</w:t>
      </w:r>
      <w:r>
        <w:t xml:space="preserve"> was</w:t>
      </w:r>
      <w:r w:rsidRPr="009C0AFB">
        <w:t xml:space="preserve"> in </w:t>
      </w:r>
      <w:r w:rsidR="00B8533F" w:rsidRPr="009C0AFB">
        <w:t>Warwick</w:t>
      </w:r>
      <w:r w:rsidR="00B8533F">
        <w:t>.</w:t>
      </w:r>
      <w:r w:rsidR="00B8533F" w:rsidRPr="00B8533F">
        <w:rPr>
          <w:rFonts w:cstheme="minorHAnsi"/>
          <w:i/>
          <w:iCs/>
          <w:u w:val="single"/>
        </w:rPr>
        <w:t xml:space="preserve"> ⁴</w:t>
      </w:r>
    </w:p>
    <w:p w14:paraId="103AF0FE" w14:textId="772F8CE0" w:rsidR="007B50AF" w:rsidRPr="00967B2E" w:rsidRDefault="00A90F5E" w:rsidP="007B50AF">
      <w:pPr>
        <w:ind w:left="1080"/>
        <w:rPr>
          <w:rFonts w:cstheme="minorHAnsi"/>
        </w:rPr>
      </w:pPr>
      <w:r w:rsidRPr="00967B2E">
        <w:rPr>
          <w:rFonts w:cstheme="minorHAnsi"/>
        </w:rPr>
        <w:t xml:space="preserve">If </w:t>
      </w:r>
      <w:r w:rsidR="00B8533F">
        <w:rPr>
          <w:rFonts w:cstheme="minorHAnsi"/>
        </w:rPr>
        <w:t>making</w:t>
      </w:r>
      <w:r w:rsidRPr="00967B2E">
        <w:rPr>
          <w:rFonts w:cstheme="minorHAnsi"/>
        </w:rPr>
        <w:t xml:space="preserve"> f</w:t>
      </w:r>
      <w:r w:rsidR="007B50AF" w:rsidRPr="00967B2E">
        <w:rPr>
          <w:rFonts w:cstheme="minorHAnsi"/>
        </w:rPr>
        <w:t>ootnote</w:t>
      </w:r>
      <w:r w:rsidRPr="00967B2E">
        <w:rPr>
          <w:rFonts w:cstheme="minorHAnsi"/>
        </w:rPr>
        <w:t>s, the botto</w:t>
      </w:r>
      <w:r w:rsidR="00273D80" w:rsidRPr="00967B2E">
        <w:rPr>
          <w:rFonts w:cstheme="minorHAnsi"/>
        </w:rPr>
        <w:t>m of the page could read</w:t>
      </w:r>
      <w:r w:rsidR="007B50AF" w:rsidRPr="00967B2E">
        <w:rPr>
          <w:rFonts w:cstheme="minorHAnsi"/>
        </w:rPr>
        <w:t>:</w:t>
      </w:r>
    </w:p>
    <w:p w14:paraId="377B97CF" w14:textId="0483348D" w:rsidR="000F0F78" w:rsidRDefault="000F0F78" w:rsidP="009C0AFB">
      <w:pPr>
        <w:pStyle w:val="ListParagraph"/>
        <w:numPr>
          <w:ilvl w:val="0"/>
          <w:numId w:val="3"/>
        </w:numPr>
        <w:rPr>
          <w:rFonts w:cstheme="minorHAnsi"/>
        </w:rPr>
      </w:pPr>
      <w:r w:rsidRPr="00B8533F">
        <w:rPr>
          <w:rFonts w:cstheme="minorHAnsi"/>
          <w:i/>
          <w:iCs/>
          <w:u w:val="single"/>
        </w:rPr>
        <w:t>¹</w:t>
      </w:r>
      <w:r>
        <w:rPr>
          <w:rFonts w:cstheme="minorHAnsi"/>
        </w:rPr>
        <w:t xml:space="preserve"> </w:t>
      </w:r>
      <w:r w:rsidRPr="000F0F78">
        <w:rPr>
          <w:rFonts w:cstheme="minorHAnsi"/>
        </w:rPr>
        <w:t>“Changing Landscapes</w:t>
      </w:r>
      <w:r w:rsidRPr="00DB4C7C">
        <w:rPr>
          <w:rFonts w:cstheme="minorHAnsi"/>
          <w:u w:val="single"/>
        </w:rPr>
        <w:t>,</w:t>
      </w:r>
      <w:r w:rsidRPr="000F0F78">
        <w:rPr>
          <w:rFonts w:cstheme="minorHAnsi"/>
        </w:rPr>
        <w:t>” Local Studies Toolkit</w:t>
      </w:r>
      <w:r w:rsidRPr="00DB4C7C">
        <w:rPr>
          <w:rFonts w:cstheme="minorHAnsi"/>
          <w:u w:val="single"/>
        </w:rPr>
        <w:t xml:space="preserve">, </w:t>
      </w:r>
      <w:r w:rsidRPr="000F0F78">
        <w:rPr>
          <w:rFonts w:cstheme="minorHAnsi"/>
        </w:rPr>
        <w:t>https://timetrail.warwickshire.gov.uk/toolkitview.aspx?tid=2&amp;page=30</w:t>
      </w:r>
      <w:r w:rsidRPr="00DB4C7C">
        <w:rPr>
          <w:rFonts w:cstheme="minorHAnsi"/>
          <w:u w:val="single"/>
        </w:rPr>
        <w:t>.</w:t>
      </w:r>
    </w:p>
    <w:p w14:paraId="06926089" w14:textId="68BCF11F" w:rsidR="00B8533F" w:rsidRPr="00954AA3" w:rsidRDefault="009C0AFB" w:rsidP="00954AA3">
      <w:pPr>
        <w:pStyle w:val="ListParagraph"/>
        <w:numPr>
          <w:ilvl w:val="0"/>
          <w:numId w:val="3"/>
        </w:numPr>
        <w:rPr>
          <w:rFonts w:cstheme="minorHAnsi"/>
        </w:rPr>
      </w:pPr>
      <w:r w:rsidRPr="00B8533F">
        <w:rPr>
          <w:rFonts w:cstheme="minorHAnsi"/>
          <w:i/>
          <w:iCs/>
          <w:u w:val="single"/>
        </w:rPr>
        <w:lastRenderedPageBreak/>
        <w:t>⁴</w:t>
      </w:r>
      <w:r w:rsidRPr="00B8533F">
        <w:rPr>
          <w:rFonts w:cstheme="minorHAnsi"/>
          <w:u w:val="single"/>
        </w:rPr>
        <w:t xml:space="preserve"> </w:t>
      </w:r>
      <w:bookmarkStart w:id="1" w:name="_Hlk61424787"/>
      <w:r w:rsidRPr="009C0AFB">
        <w:rPr>
          <w:rFonts w:cstheme="minorHAnsi"/>
        </w:rPr>
        <w:t>David Carpenter</w:t>
      </w:r>
      <w:r w:rsidRPr="00DB4C7C">
        <w:rPr>
          <w:rFonts w:cstheme="minorHAnsi"/>
          <w:u w:val="single"/>
        </w:rPr>
        <w:t>,</w:t>
      </w:r>
      <w:r w:rsidRPr="009C0AFB">
        <w:rPr>
          <w:rFonts w:cstheme="minorHAnsi"/>
        </w:rPr>
        <w:t xml:space="preserve"> </w:t>
      </w:r>
      <w:r w:rsidRPr="009C0AFB">
        <w:rPr>
          <w:rFonts w:cstheme="minorHAnsi"/>
          <w:i/>
          <w:iCs/>
        </w:rPr>
        <w:t>The Struggle for Mastery: The Penguin History of Britain 1066-1284</w:t>
      </w:r>
      <w:r w:rsidRPr="00DB4C7C">
        <w:rPr>
          <w:rFonts w:cstheme="minorHAnsi"/>
          <w:u w:val="single"/>
        </w:rPr>
        <w:t xml:space="preserve">, </w:t>
      </w:r>
      <w:r w:rsidRPr="009C0AFB">
        <w:rPr>
          <w:rFonts w:cstheme="minorHAnsi"/>
        </w:rPr>
        <w:t>(London: Penguin, 2005)</w:t>
      </w:r>
      <w:r w:rsidRPr="00DB4C7C">
        <w:rPr>
          <w:rFonts w:cstheme="minorHAnsi"/>
          <w:u w:val="single"/>
        </w:rPr>
        <w:t>,</w:t>
      </w:r>
      <w:r w:rsidRPr="009C0AFB">
        <w:rPr>
          <w:rFonts w:cstheme="minorHAnsi"/>
        </w:rPr>
        <w:t xml:space="preserve"> p. 76</w:t>
      </w:r>
      <w:r w:rsidRPr="00DB4C7C">
        <w:rPr>
          <w:rFonts w:cstheme="minorHAnsi"/>
          <w:u w:val="single"/>
        </w:rPr>
        <w:t>.</w:t>
      </w:r>
      <w:bookmarkEnd w:id="1"/>
    </w:p>
    <w:p w14:paraId="7D174E7B" w14:textId="51F63535" w:rsidR="007B50AF" w:rsidRPr="000F0F78" w:rsidRDefault="00A90F5E" w:rsidP="000F0F78">
      <w:pPr>
        <w:ind w:left="1080"/>
        <w:rPr>
          <w:rFonts w:cstheme="minorHAnsi"/>
        </w:rPr>
      </w:pPr>
      <w:r w:rsidRPr="000F0F78">
        <w:rPr>
          <w:rFonts w:cstheme="minorHAnsi"/>
        </w:rPr>
        <w:t xml:space="preserve">Similarly, if </w:t>
      </w:r>
      <w:r w:rsidR="00B8533F">
        <w:rPr>
          <w:rFonts w:cstheme="minorHAnsi"/>
        </w:rPr>
        <w:t>making</w:t>
      </w:r>
      <w:r w:rsidRPr="000F0F78">
        <w:rPr>
          <w:rFonts w:cstheme="minorHAnsi"/>
        </w:rPr>
        <w:t xml:space="preserve"> endnotes, </w:t>
      </w:r>
      <w:r w:rsidR="00273D80" w:rsidRPr="000F0F78">
        <w:rPr>
          <w:rFonts w:cstheme="minorHAnsi"/>
        </w:rPr>
        <w:t xml:space="preserve">the </w:t>
      </w:r>
      <w:r w:rsidR="00B8533F">
        <w:rPr>
          <w:rFonts w:cstheme="minorHAnsi"/>
        </w:rPr>
        <w:t>lis</w:t>
      </w:r>
      <w:r w:rsidR="001C210C">
        <w:rPr>
          <w:rFonts w:cstheme="minorHAnsi"/>
        </w:rPr>
        <w:t xml:space="preserve">t </w:t>
      </w:r>
      <w:r w:rsidR="00273D80" w:rsidRPr="000F0F78">
        <w:rPr>
          <w:rFonts w:cstheme="minorHAnsi"/>
        </w:rPr>
        <w:t xml:space="preserve">could </w:t>
      </w:r>
      <w:r w:rsidR="00B8533F">
        <w:rPr>
          <w:rFonts w:cstheme="minorHAnsi"/>
        </w:rPr>
        <w:t>include</w:t>
      </w:r>
      <w:r w:rsidRPr="000F0F78">
        <w:rPr>
          <w:rFonts w:cstheme="minorHAnsi"/>
        </w:rPr>
        <w:t xml:space="preserve">: </w:t>
      </w:r>
    </w:p>
    <w:p w14:paraId="63782BF6" w14:textId="12101AD0" w:rsidR="000F0F78" w:rsidRDefault="000F0F78" w:rsidP="00A90F5E">
      <w:pPr>
        <w:pStyle w:val="ListParagraph"/>
        <w:numPr>
          <w:ilvl w:val="0"/>
          <w:numId w:val="3"/>
        </w:numPr>
        <w:rPr>
          <w:rFonts w:cstheme="minorHAnsi"/>
        </w:rPr>
      </w:pPr>
      <w:r w:rsidRPr="00DB4C7C">
        <w:rPr>
          <w:rFonts w:cstheme="minorHAnsi"/>
          <w:u w:val="single"/>
        </w:rPr>
        <w:t>1.</w:t>
      </w:r>
      <w:r>
        <w:rPr>
          <w:rFonts w:cstheme="minorHAnsi"/>
        </w:rPr>
        <w:t xml:space="preserve"> </w:t>
      </w:r>
      <w:r w:rsidRPr="000F0F78">
        <w:rPr>
          <w:rFonts w:cstheme="minorHAnsi"/>
        </w:rPr>
        <w:t>“Changing Landscapes</w:t>
      </w:r>
      <w:r w:rsidRPr="00DB4C7C">
        <w:rPr>
          <w:rFonts w:cstheme="minorHAnsi"/>
          <w:u w:val="single"/>
        </w:rPr>
        <w:t>,</w:t>
      </w:r>
      <w:r w:rsidRPr="000F0F78">
        <w:rPr>
          <w:rFonts w:cstheme="minorHAnsi"/>
        </w:rPr>
        <w:t>” Local Studies Toolkit</w:t>
      </w:r>
      <w:r w:rsidRPr="00DB4C7C">
        <w:rPr>
          <w:rFonts w:cstheme="minorHAnsi"/>
          <w:u w:val="single"/>
        </w:rPr>
        <w:t xml:space="preserve">, </w:t>
      </w:r>
      <w:r w:rsidRPr="000F0F78">
        <w:rPr>
          <w:rFonts w:cstheme="minorHAnsi"/>
        </w:rPr>
        <w:t>https://timetrail.warwickshire.gov.uk/toolkitview.aspx?tid=2&amp;page=30</w:t>
      </w:r>
      <w:r w:rsidRPr="00DB4C7C">
        <w:rPr>
          <w:rFonts w:cstheme="minorHAnsi"/>
          <w:u w:val="single"/>
        </w:rPr>
        <w:t>.</w:t>
      </w:r>
    </w:p>
    <w:p w14:paraId="21774860" w14:textId="77777777" w:rsidR="00DB4C7C" w:rsidRPr="00DB4C7C" w:rsidRDefault="009C0AFB" w:rsidP="00A90F5E">
      <w:pPr>
        <w:pStyle w:val="ListParagraph"/>
        <w:numPr>
          <w:ilvl w:val="0"/>
          <w:numId w:val="3"/>
        </w:numPr>
        <w:rPr>
          <w:rFonts w:cstheme="minorHAnsi"/>
        </w:rPr>
      </w:pPr>
      <w:r w:rsidRPr="00DB4C7C">
        <w:rPr>
          <w:rFonts w:cstheme="minorHAnsi"/>
          <w:u w:val="single"/>
        </w:rPr>
        <w:t>4</w:t>
      </w:r>
      <w:r>
        <w:rPr>
          <w:rFonts w:cstheme="minorHAnsi"/>
        </w:rPr>
        <w:t xml:space="preserve">. </w:t>
      </w:r>
      <w:r w:rsidRPr="009C0AFB">
        <w:rPr>
          <w:rFonts w:cstheme="minorHAnsi"/>
        </w:rPr>
        <w:t>David Carpenter</w:t>
      </w:r>
      <w:r w:rsidRPr="00DB4C7C">
        <w:rPr>
          <w:rFonts w:cstheme="minorHAnsi"/>
          <w:u w:val="single"/>
        </w:rPr>
        <w:t xml:space="preserve">, </w:t>
      </w:r>
      <w:r w:rsidRPr="009C0AFB">
        <w:rPr>
          <w:rFonts w:cstheme="minorHAnsi"/>
          <w:i/>
          <w:iCs/>
        </w:rPr>
        <w:t>The Struggle for Mastery: The Penguin History of Britain 1066-1284</w:t>
      </w:r>
      <w:r w:rsidRPr="00DB4C7C">
        <w:rPr>
          <w:rFonts w:cstheme="minorHAnsi"/>
          <w:u w:val="single"/>
        </w:rPr>
        <w:t xml:space="preserve">, </w:t>
      </w:r>
      <w:r w:rsidRPr="009C0AFB">
        <w:rPr>
          <w:rFonts w:cstheme="minorHAnsi"/>
        </w:rPr>
        <w:t>(London: Penguin, 2005)</w:t>
      </w:r>
      <w:r w:rsidRPr="00DB4C7C">
        <w:rPr>
          <w:rFonts w:cstheme="minorHAnsi"/>
          <w:u w:val="single"/>
        </w:rPr>
        <w:t>,</w:t>
      </w:r>
      <w:r w:rsidRPr="00DB4C7C">
        <w:rPr>
          <w:rFonts w:cstheme="minorHAnsi"/>
        </w:rPr>
        <w:t xml:space="preserve"> </w:t>
      </w:r>
      <w:r w:rsidRPr="009C0AFB">
        <w:rPr>
          <w:rFonts w:cstheme="minorHAnsi"/>
        </w:rPr>
        <w:t>p. 76</w:t>
      </w:r>
      <w:r w:rsidRPr="00DB4C7C">
        <w:rPr>
          <w:rFonts w:cstheme="minorHAnsi"/>
          <w:u w:val="single"/>
        </w:rPr>
        <w:t>.</w:t>
      </w:r>
    </w:p>
    <w:p w14:paraId="60C8D6D2" w14:textId="5E69B255" w:rsidR="00A90F5E" w:rsidRDefault="00DB4C7C" w:rsidP="00DB4C7C">
      <w:pPr>
        <w:ind w:left="720"/>
        <w:rPr>
          <w:rFonts w:cstheme="minorHAnsi"/>
        </w:rPr>
      </w:pPr>
      <w:r w:rsidRPr="00DB4C7C">
        <w:rPr>
          <w:rFonts w:cstheme="minorHAnsi"/>
        </w:rPr>
        <w:t>If multiple references from different sources are made in one sentence, a colon should come between each and the note should end with a period.</w:t>
      </w:r>
    </w:p>
    <w:p w14:paraId="638C02E1" w14:textId="6399F371" w:rsidR="00DB4C7C" w:rsidRDefault="00762FD2" w:rsidP="00954AA3">
      <w:pPr>
        <w:pStyle w:val="ListParagraph"/>
        <w:numPr>
          <w:ilvl w:val="0"/>
          <w:numId w:val="12"/>
        </w:numPr>
        <w:rPr>
          <w:rFonts w:cstheme="minorHAnsi"/>
        </w:rPr>
      </w:pPr>
      <w:r w:rsidRPr="00762FD2">
        <w:rPr>
          <w:rFonts w:cstheme="minorHAnsi"/>
          <w:i/>
          <w:iCs/>
        </w:rPr>
        <w:t>⁶</w:t>
      </w:r>
      <w:r>
        <w:rPr>
          <w:rFonts w:cstheme="minorHAnsi"/>
        </w:rPr>
        <w:t xml:space="preserve"> </w:t>
      </w:r>
      <w:bookmarkStart w:id="2" w:name="_Hlk61430109"/>
      <w:r w:rsidR="00954AA3" w:rsidRPr="00954AA3">
        <w:rPr>
          <w:rFonts w:cstheme="minorHAnsi"/>
        </w:rPr>
        <w:t xml:space="preserve">Carpenter, </w:t>
      </w:r>
      <w:r w:rsidR="00954AA3" w:rsidRPr="00762FD2">
        <w:rPr>
          <w:rFonts w:cstheme="minorHAnsi"/>
          <w:i/>
          <w:iCs/>
        </w:rPr>
        <w:t>The Struggle for Mastery</w:t>
      </w:r>
      <w:r w:rsidR="00954AA3" w:rsidRPr="00954AA3">
        <w:rPr>
          <w:rFonts w:cstheme="minorHAnsi"/>
        </w:rPr>
        <w:t>, p. 32</w:t>
      </w:r>
      <w:r w:rsidR="00954AA3" w:rsidRPr="00762FD2">
        <w:rPr>
          <w:rFonts w:cstheme="minorHAnsi"/>
          <w:u w:val="single"/>
        </w:rPr>
        <w:t>;</w:t>
      </w:r>
      <w:r w:rsidR="00954AA3" w:rsidRPr="00954AA3">
        <w:rPr>
          <w:rFonts w:cstheme="minorHAnsi"/>
        </w:rPr>
        <w:t xml:space="preserve"> "The Hundreds of Warwickshire," in </w:t>
      </w:r>
      <w:r w:rsidR="00954AA3" w:rsidRPr="00762FD2">
        <w:rPr>
          <w:rFonts w:cstheme="minorHAnsi"/>
          <w:i/>
          <w:iCs/>
        </w:rPr>
        <w:t>A History of the County of Warwick</w:t>
      </w:r>
      <w:r w:rsidR="00954AA3" w:rsidRPr="00954AA3">
        <w:rPr>
          <w:rFonts w:cstheme="minorHAnsi"/>
        </w:rPr>
        <w:t xml:space="preserve">: Volume 3, </w:t>
      </w:r>
      <w:proofErr w:type="spellStart"/>
      <w:r w:rsidR="00954AA3" w:rsidRPr="00954AA3">
        <w:rPr>
          <w:rFonts w:cstheme="minorHAnsi"/>
        </w:rPr>
        <w:t>Barlichway</w:t>
      </w:r>
      <w:proofErr w:type="spellEnd"/>
      <w:r w:rsidR="00954AA3" w:rsidRPr="00954AA3">
        <w:rPr>
          <w:rFonts w:cstheme="minorHAnsi"/>
        </w:rPr>
        <w:t xml:space="preserve"> Hundred, ed. Philip Styles (London: Victoria County History, 1945), British History Online, accessed October 20, 2020, </w:t>
      </w:r>
      <w:hyperlink r:id="rId7" w:history="1">
        <w:r w:rsidRPr="006B7635">
          <w:rPr>
            <w:rStyle w:val="Hyperlink"/>
            <w:rFonts w:cstheme="minorHAnsi"/>
          </w:rPr>
          <w:t>http://www.british-history.ac.uk/vch/warks/vol3/pp1-4</w:t>
        </w:r>
      </w:hyperlink>
      <w:r w:rsidR="00954AA3" w:rsidRPr="00954AA3">
        <w:rPr>
          <w:rFonts w:cstheme="minorHAnsi"/>
        </w:rPr>
        <w:t>.</w:t>
      </w:r>
    </w:p>
    <w:bookmarkEnd w:id="2"/>
    <w:p w14:paraId="11C2CEE3" w14:textId="77777777" w:rsidR="00762FD2" w:rsidRPr="00762FD2" w:rsidRDefault="00762FD2" w:rsidP="00762FD2">
      <w:pPr>
        <w:pStyle w:val="ListParagraph"/>
        <w:numPr>
          <w:ilvl w:val="0"/>
          <w:numId w:val="12"/>
        </w:numPr>
        <w:rPr>
          <w:rFonts w:cstheme="minorHAnsi"/>
        </w:rPr>
      </w:pPr>
      <w:r w:rsidRPr="00762FD2">
        <w:rPr>
          <w:rFonts w:cstheme="minorHAnsi"/>
        </w:rPr>
        <w:t xml:space="preserve">6. Carpenter, </w:t>
      </w:r>
      <w:r w:rsidRPr="00762FD2">
        <w:rPr>
          <w:rFonts w:cstheme="minorHAnsi"/>
          <w:i/>
          <w:iCs/>
        </w:rPr>
        <w:t>The Struggle for Mastery</w:t>
      </w:r>
      <w:r w:rsidRPr="00762FD2">
        <w:rPr>
          <w:rFonts w:cstheme="minorHAnsi"/>
        </w:rPr>
        <w:t>, p. 32</w:t>
      </w:r>
      <w:r w:rsidRPr="00762FD2">
        <w:rPr>
          <w:rFonts w:cstheme="minorHAnsi"/>
          <w:u w:val="single"/>
        </w:rPr>
        <w:t>;</w:t>
      </w:r>
      <w:r w:rsidRPr="00762FD2">
        <w:rPr>
          <w:rFonts w:cstheme="minorHAnsi"/>
        </w:rPr>
        <w:t xml:space="preserve"> "The Hundreds of Warwickshire," in </w:t>
      </w:r>
      <w:r w:rsidRPr="00762FD2">
        <w:rPr>
          <w:rFonts w:cstheme="minorHAnsi"/>
          <w:i/>
          <w:iCs/>
        </w:rPr>
        <w:t>A History of the County of Warwick</w:t>
      </w:r>
      <w:r w:rsidRPr="00762FD2">
        <w:rPr>
          <w:rFonts w:cstheme="minorHAnsi"/>
        </w:rPr>
        <w:t xml:space="preserve">: Volume 3, </w:t>
      </w:r>
      <w:proofErr w:type="spellStart"/>
      <w:r w:rsidRPr="00762FD2">
        <w:rPr>
          <w:rFonts w:cstheme="minorHAnsi"/>
        </w:rPr>
        <w:t>Barlichway</w:t>
      </w:r>
      <w:proofErr w:type="spellEnd"/>
      <w:r w:rsidRPr="00762FD2">
        <w:rPr>
          <w:rFonts w:cstheme="minorHAnsi"/>
        </w:rPr>
        <w:t xml:space="preserve"> Hundred, ed. Philip Styles (London: Victoria County History, 1945), British History Online, accessed October 20, 2020, http://www.british-history.ac.uk/vch/warks/vol3/pp1-4.</w:t>
      </w:r>
    </w:p>
    <w:p w14:paraId="4A164FDA" w14:textId="7987986D" w:rsidR="00762FD2" w:rsidRPr="00762FD2" w:rsidRDefault="00762FD2" w:rsidP="00762FD2">
      <w:pPr>
        <w:pStyle w:val="ListParagraph"/>
        <w:ind w:left="1440"/>
        <w:rPr>
          <w:rFonts w:cstheme="minorHAnsi"/>
        </w:rPr>
      </w:pPr>
    </w:p>
    <w:p w14:paraId="7AA0F25B" w14:textId="77777777" w:rsidR="00B8533F" w:rsidRDefault="00967B2E" w:rsidP="00967B2E">
      <w:pPr>
        <w:pStyle w:val="ListParagraph"/>
        <w:numPr>
          <w:ilvl w:val="0"/>
          <w:numId w:val="4"/>
        </w:numPr>
        <w:rPr>
          <w:rFonts w:cstheme="minorHAnsi"/>
        </w:rPr>
      </w:pPr>
      <w:r w:rsidRPr="00967B2E">
        <w:rPr>
          <w:rFonts w:cstheme="minorHAnsi"/>
        </w:rPr>
        <w:t>If the same source is referenced later</w:t>
      </w:r>
      <w:r w:rsidR="00B8533F">
        <w:rPr>
          <w:rFonts w:cstheme="minorHAnsi"/>
        </w:rPr>
        <w:t xml:space="preserve"> </w:t>
      </w:r>
      <w:r w:rsidRPr="00967B2E">
        <w:rPr>
          <w:rFonts w:cstheme="minorHAnsi"/>
        </w:rPr>
        <w:t xml:space="preserve">in the same essay, </w:t>
      </w:r>
      <w:r w:rsidR="00B8533F">
        <w:rPr>
          <w:rFonts w:cstheme="minorHAnsi"/>
        </w:rPr>
        <w:t>the next reference of it</w:t>
      </w:r>
      <w:r w:rsidRPr="00967B2E">
        <w:rPr>
          <w:rFonts w:cstheme="minorHAnsi"/>
        </w:rPr>
        <w:t xml:space="preserve"> can be shortened to only include the author’s last name</w:t>
      </w:r>
      <w:r w:rsidR="000F0F78">
        <w:rPr>
          <w:rFonts w:cstheme="minorHAnsi"/>
        </w:rPr>
        <w:t xml:space="preserve"> and</w:t>
      </w:r>
      <w:r w:rsidRPr="00967B2E">
        <w:rPr>
          <w:rFonts w:cstheme="minorHAnsi"/>
        </w:rPr>
        <w:t xml:space="preserve"> the title of the work</w:t>
      </w:r>
      <w:r w:rsidR="0028526D">
        <w:rPr>
          <w:rFonts w:cstheme="minorHAnsi"/>
        </w:rPr>
        <w:t xml:space="preserve"> (which can be shortened if appropriate</w:t>
      </w:r>
      <w:r w:rsidR="000F0F78">
        <w:rPr>
          <w:rFonts w:cstheme="minorHAnsi"/>
        </w:rPr>
        <w:t xml:space="preserve">). </w:t>
      </w:r>
    </w:p>
    <w:p w14:paraId="7AFF2B69" w14:textId="0BE566AF" w:rsidR="0028526D" w:rsidRDefault="000F0F78" w:rsidP="00967B2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Where</w:t>
      </w:r>
      <w:r w:rsidR="00967B2E" w:rsidRPr="00967B2E">
        <w:rPr>
          <w:rFonts w:cstheme="minorHAnsi"/>
        </w:rPr>
        <w:t xml:space="preserve"> the reference</w:t>
      </w:r>
      <w:r>
        <w:rPr>
          <w:rFonts w:cstheme="minorHAnsi"/>
        </w:rPr>
        <w:t xml:space="preserve"> can be found</w:t>
      </w:r>
      <w:r w:rsidR="0028526D">
        <w:rPr>
          <w:rFonts w:cstheme="minorHAnsi"/>
        </w:rPr>
        <w:t xml:space="preserve"> in the source</w:t>
      </w:r>
      <w:r>
        <w:rPr>
          <w:rFonts w:cstheme="minorHAnsi"/>
        </w:rPr>
        <w:t xml:space="preserve"> only needs to be included if </w:t>
      </w:r>
      <w:r w:rsidR="00571669">
        <w:rPr>
          <w:rFonts w:cstheme="minorHAnsi"/>
        </w:rPr>
        <w:t>it</w:t>
      </w:r>
      <w:r>
        <w:rPr>
          <w:rFonts w:cstheme="minorHAnsi"/>
        </w:rPr>
        <w:t xml:space="preserve"> is different from the last reference</w:t>
      </w:r>
      <w:r w:rsidR="00571669">
        <w:rPr>
          <w:rFonts w:cstheme="minorHAnsi"/>
        </w:rPr>
        <w:t xml:space="preserve"> (</w:t>
      </w:r>
      <w:proofErr w:type="spellStart"/>
      <w:r w:rsidR="00571669">
        <w:rPr>
          <w:rFonts w:cstheme="minorHAnsi"/>
        </w:rPr>
        <w:t>eg.</w:t>
      </w:r>
      <w:proofErr w:type="spellEnd"/>
      <w:r w:rsidR="00571669">
        <w:rPr>
          <w:rFonts w:cstheme="minorHAnsi"/>
        </w:rPr>
        <w:t xml:space="preserve"> different page numbers from the same source)</w:t>
      </w:r>
      <w:r>
        <w:rPr>
          <w:rFonts w:cstheme="minorHAnsi"/>
        </w:rPr>
        <w:t>.</w:t>
      </w:r>
      <w:r w:rsidR="00B8533F">
        <w:rPr>
          <w:rFonts w:cstheme="minorHAnsi"/>
        </w:rPr>
        <w:br/>
      </w:r>
    </w:p>
    <w:p w14:paraId="7B48E838" w14:textId="1DE7BB4B" w:rsidR="00571669" w:rsidRDefault="00571669" w:rsidP="00571669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Footnotes:</w:t>
      </w:r>
    </w:p>
    <w:p w14:paraId="4A320137" w14:textId="2B9F2444" w:rsidR="00571669" w:rsidRDefault="00571669" w:rsidP="000F0F78">
      <w:pPr>
        <w:pStyle w:val="ListParagraph"/>
        <w:numPr>
          <w:ilvl w:val="0"/>
          <w:numId w:val="6"/>
        </w:numPr>
        <w:rPr>
          <w:rFonts w:cstheme="minorHAnsi"/>
        </w:rPr>
      </w:pPr>
      <w:r w:rsidRPr="00571669">
        <w:rPr>
          <w:rFonts w:cstheme="minorHAnsi"/>
        </w:rPr>
        <w:t xml:space="preserve">² </w:t>
      </w:r>
      <w:bookmarkStart w:id="3" w:name="_Hlk61427086"/>
      <w:r w:rsidRPr="00571669">
        <w:rPr>
          <w:rFonts w:cstheme="minorHAnsi"/>
        </w:rPr>
        <w:t>“Changing Landscapes,” Local Studies Toolkit.</w:t>
      </w:r>
      <w:bookmarkEnd w:id="3"/>
    </w:p>
    <w:p w14:paraId="19BCFCDE" w14:textId="77777777" w:rsidR="00571669" w:rsidRDefault="00571669" w:rsidP="000F0F78">
      <w:pPr>
        <w:pStyle w:val="ListParagraph"/>
        <w:numPr>
          <w:ilvl w:val="0"/>
          <w:numId w:val="6"/>
        </w:numPr>
        <w:rPr>
          <w:rFonts w:cstheme="minorHAnsi"/>
        </w:rPr>
      </w:pPr>
      <w:r w:rsidRPr="00571669">
        <w:rPr>
          <w:rFonts w:cstheme="minorHAnsi"/>
        </w:rPr>
        <w:t>⁵</w:t>
      </w:r>
      <w:r>
        <w:rPr>
          <w:rFonts w:cstheme="minorHAnsi"/>
        </w:rPr>
        <w:t xml:space="preserve"> </w:t>
      </w:r>
      <w:bookmarkStart w:id="4" w:name="_Hlk61427101"/>
      <w:r w:rsidRPr="00571669">
        <w:rPr>
          <w:rFonts w:cstheme="minorHAnsi"/>
        </w:rPr>
        <w:t xml:space="preserve">Carpenter, </w:t>
      </w:r>
      <w:r w:rsidRPr="00571669">
        <w:rPr>
          <w:rFonts w:cstheme="minorHAnsi"/>
          <w:i/>
          <w:iCs/>
        </w:rPr>
        <w:t>The Struggle for Mastery</w:t>
      </w:r>
      <w:r w:rsidRPr="00571669">
        <w:rPr>
          <w:rFonts w:cstheme="minorHAnsi"/>
        </w:rPr>
        <w:t>, p. 4.</w:t>
      </w:r>
      <w:bookmarkEnd w:id="4"/>
    </w:p>
    <w:p w14:paraId="6230E063" w14:textId="77777777" w:rsidR="00571669" w:rsidRDefault="00571669" w:rsidP="00571669">
      <w:pPr>
        <w:ind w:left="1080"/>
        <w:rPr>
          <w:rFonts w:cstheme="minorHAnsi"/>
        </w:rPr>
      </w:pPr>
      <w:r>
        <w:rPr>
          <w:rFonts w:cstheme="minorHAnsi"/>
        </w:rPr>
        <w:t>Endnotes:</w:t>
      </w:r>
    </w:p>
    <w:p w14:paraId="4AC1722E" w14:textId="4B944BCD" w:rsidR="00B8533F" w:rsidRDefault="00B8533F" w:rsidP="0057166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2. </w:t>
      </w:r>
      <w:r w:rsidRPr="00571669">
        <w:rPr>
          <w:rFonts w:cstheme="minorHAnsi"/>
        </w:rPr>
        <w:t>“Changing Landscapes,” Local Studies Toolkit.</w:t>
      </w:r>
    </w:p>
    <w:p w14:paraId="7A7B039A" w14:textId="0587ED8B" w:rsidR="00187D91" w:rsidRPr="00571669" w:rsidRDefault="00B8533F" w:rsidP="0057166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5.  </w:t>
      </w:r>
      <w:r w:rsidRPr="00B8533F">
        <w:rPr>
          <w:rFonts w:cstheme="minorHAnsi"/>
        </w:rPr>
        <w:t>Carpenter, The Struggle for Mastery, p. 4.</w:t>
      </w:r>
      <w:r w:rsidR="000F0F78" w:rsidRPr="00571669">
        <w:rPr>
          <w:rFonts w:cstheme="minorHAnsi"/>
        </w:rPr>
        <w:br/>
      </w:r>
    </w:p>
    <w:p w14:paraId="31D3FF3C" w14:textId="3B0F93CC" w:rsidR="000530E9" w:rsidRDefault="000530E9" w:rsidP="000530E9">
      <w:pPr>
        <w:rPr>
          <w:b/>
          <w:bCs/>
        </w:rPr>
      </w:pPr>
      <w:r>
        <w:rPr>
          <w:b/>
          <w:bCs/>
        </w:rPr>
        <w:t>Bibliography and Reference Page</w:t>
      </w:r>
    </w:p>
    <w:p w14:paraId="6064FDA9" w14:textId="16BF85DA" w:rsidR="005222B7" w:rsidRPr="00954AA3" w:rsidRDefault="005222B7" w:rsidP="00954AA3">
      <w:pPr>
        <w:pStyle w:val="ListParagraph"/>
        <w:numPr>
          <w:ilvl w:val="0"/>
          <w:numId w:val="11"/>
        </w:numPr>
        <w:rPr>
          <w:b/>
          <w:bCs/>
        </w:rPr>
      </w:pPr>
      <w:r>
        <w:t>The bibliography, or sometimes call</w:t>
      </w:r>
      <w:r w:rsidR="00954AA3">
        <w:t>ed</w:t>
      </w:r>
      <w:r>
        <w:t xml:space="preserve"> the reference page</w:t>
      </w:r>
      <w:r w:rsidR="00954AA3">
        <w:t xml:space="preserve"> and labeled as “References”</w:t>
      </w:r>
      <w:r>
        <w:t xml:space="preserve">, in Chicago Style is different from footnotes and endnotes as it is a list of entire sources that </w:t>
      </w:r>
      <w:r w:rsidR="001C210C">
        <w:t>were</w:t>
      </w:r>
      <w:r>
        <w:t xml:space="preserve"> used. </w:t>
      </w:r>
      <w:r w:rsidR="00954AA3">
        <w:t>Sometimes a bibliography is not required by a professor if notes are included, but it is always best to ask if unsure.</w:t>
      </w:r>
    </w:p>
    <w:p w14:paraId="1CD42E80" w14:textId="77777777" w:rsidR="00954AA3" w:rsidRPr="00954AA3" w:rsidRDefault="00954AA3" w:rsidP="00954AA3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It is organized alphabetically by the authors’ last names which is </w:t>
      </w:r>
      <w:proofErr w:type="gramStart"/>
      <w:r>
        <w:t>similar to</w:t>
      </w:r>
      <w:proofErr w:type="gramEnd"/>
      <w:r>
        <w:t xml:space="preserve"> other citation styles.</w:t>
      </w:r>
    </w:p>
    <w:p w14:paraId="797FB07B" w14:textId="4780373E" w:rsidR="00954AA3" w:rsidRPr="00954AA3" w:rsidRDefault="00954AA3" w:rsidP="00954AA3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Unlike the notes, a period must come between every piece of information. </w:t>
      </w:r>
    </w:p>
    <w:p w14:paraId="1479750C" w14:textId="2F04659F" w:rsidR="00954AA3" w:rsidRPr="00954AA3" w:rsidRDefault="00954AA3" w:rsidP="00954AA3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Every line after the first of a citation must be indented. </w:t>
      </w:r>
    </w:p>
    <w:p w14:paraId="50DBD327" w14:textId="5377B87B" w:rsidR="00954AA3" w:rsidRPr="0078128D" w:rsidRDefault="00954AA3" w:rsidP="00954AA3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 xml:space="preserve">Below is an example of what </w:t>
      </w:r>
      <w:r w:rsidR="001C210C">
        <w:t>the formatting of a reference page looks like</w:t>
      </w:r>
      <w:r>
        <w:t xml:space="preserve">. </w:t>
      </w:r>
      <w:r w:rsidR="00762FD2">
        <w:t>When completing an essay, i</w:t>
      </w:r>
      <w:r>
        <w:t>t should be its own page or series of pages following the essay and possible endnotes.</w:t>
      </w:r>
    </w:p>
    <w:p w14:paraId="4471AA69" w14:textId="77777777" w:rsidR="0078128D" w:rsidRPr="00762FD2" w:rsidRDefault="0078128D" w:rsidP="0078128D">
      <w:pPr>
        <w:pStyle w:val="ListParagraph"/>
        <w:rPr>
          <w:b/>
          <w:bCs/>
        </w:rPr>
      </w:pPr>
    </w:p>
    <w:p w14:paraId="23EC40F5" w14:textId="77777777" w:rsidR="00954AA3" w:rsidRPr="00762FD2" w:rsidRDefault="00954AA3" w:rsidP="00954AA3">
      <w:pPr>
        <w:spacing w:line="480" w:lineRule="auto"/>
        <w:jc w:val="center"/>
        <w:rPr>
          <w:rFonts w:cstheme="minorHAnsi"/>
        </w:rPr>
      </w:pPr>
      <w:r w:rsidRPr="00762FD2">
        <w:rPr>
          <w:rFonts w:cstheme="minorHAnsi"/>
        </w:rPr>
        <w:t>References</w:t>
      </w:r>
    </w:p>
    <w:p w14:paraId="6DF678A0" w14:textId="4C7EB1C5" w:rsidR="00954AA3" w:rsidRPr="00762FD2" w:rsidRDefault="00954AA3" w:rsidP="00762FD2">
      <w:pPr>
        <w:spacing w:line="480" w:lineRule="auto"/>
        <w:rPr>
          <w:rFonts w:cstheme="minorHAnsi"/>
        </w:rPr>
      </w:pPr>
      <w:bookmarkStart w:id="5" w:name="_Hlk52554256"/>
      <w:r w:rsidRPr="00762FD2">
        <w:rPr>
          <w:rFonts w:cstheme="minorHAnsi"/>
          <w:color w:val="000000"/>
          <w:u w:val="single"/>
          <w:shd w:val="clear" w:color="auto" w:fill="FFFFFF"/>
        </w:rPr>
        <w:t>Fleming</w:t>
      </w:r>
      <w:r w:rsidRPr="00762FD2">
        <w:rPr>
          <w:rFonts w:cstheme="minorHAnsi"/>
          <w:color w:val="000000"/>
          <w:shd w:val="clear" w:color="auto" w:fill="FFFFFF"/>
        </w:rPr>
        <w:t>, Robin</w:t>
      </w:r>
      <w:r w:rsidRPr="00762FD2">
        <w:rPr>
          <w:rFonts w:cstheme="minorHAnsi"/>
          <w:color w:val="000000"/>
          <w:u w:val="single"/>
          <w:shd w:val="clear" w:color="auto" w:fill="FFFFFF"/>
        </w:rPr>
        <w:t>.</w:t>
      </w:r>
      <w:r w:rsidRPr="00762FD2">
        <w:rPr>
          <w:rFonts w:cstheme="minorHAnsi"/>
          <w:color w:val="000000"/>
          <w:shd w:val="clear" w:color="auto" w:fill="FFFFFF"/>
        </w:rPr>
        <w:t> </w:t>
      </w:r>
      <w:r w:rsidRPr="00762FD2">
        <w:rPr>
          <w:rFonts w:cstheme="minorHAnsi"/>
          <w:i/>
          <w:iCs/>
          <w:color w:val="000000"/>
          <w:shd w:val="clear" w:color="auto" w:fill="FFFFFF"/>
        </w:rPr>
        <w:t>Britain After Rome: Fall and Rise 400 to 1070</w:t>
      </w:r>
      <w:r w:rsidRPr="00762FD2">
        <w:rPr>
          <w:rFonts w:cstheme="minorHAnsi"/>
          <w:color w:val="000000"/>
          <w:u w:val="single"/>
          <w:shd w:val="clear" w:color="auto" w:fill="FFFFFF"/>
        </w:rPr>
        <w:t>.</w:t>
      </w:r>
      <w:r w:rsidRPr="00762FD2">
        <w:rPr>
          <w:rFonts w:cstheme="minorHAnsi"/>
          <w:color w:val="000000"/>
          <w:shd w:val="clear" w:color="auto" w:fill="FFFFFF"/>
        </w:rPr>
        <w:t xml:space="preserve"> Vol. 1</w:t>
      </w:r>
      <w:r w:rsidRPr="00762FD2">
        <w:rPr>
          <w:rFonts w:cstheme="minorHAnsi"/>
          <w:color w:val="000000"/>
          <w:u w:val="single"/>
          <w:shd w:val="clear" w:color="auto" w:fill="FFFFFF"/>
        </w:rPr>
        <w:t>.</w:t>
      </w:r>
      <w:r w:rsidRPr="00762FD2">
        <w:rPr>
          <w:rFonts w:cstheme="minorHAnsi"/>
          <w:color w:val="000000"/>
          <w:shd w:val="clear" w:color="auto" w:fill="FFFFFF"/>
        </w:rPr>
        <w:t xml:space="preserve"> London: Penguin, 2010</w:t>
      </w:r>
      <w:r w:rsidRPr="00762FD2">
        <w:rPr>
          <w:rFonts w:cstheme="minorHAnsi"/>
          <w:color w:val="000000"/>
          <w:u w:val="single"/>
          <w:shd w:val="clear" w:color="auto" w:fill="FFFFFF"/>
        </w:rPr>
        <w:t>.</w:t>
      </w:r>
      <w:r w:rsidRPr="00762FD2">
        <w:rPr>
          <w:rFonts w:cstheme="minorHAnsi"/>
          <w:color w:val="000000"/>
          <w:shd w:val="clear" w:color="auto" w:fill="FFFFFF"/>
        </w:rPr>
        <w:br/>
      </w:r>
      <w:bookmarkStart w:id="6" w:name="_Hlk52552863"/>
      <w:bookmarkEnd w:id="5"/>
      <w:proofErr w:type="spellStart"/>
      <w:r w:rsidRPr="00762FD2">
        <w:rPr>
          <w:rFonts w:cstheme="minorHAnsi"/>
          <w:u w:val="single"/>
        </w:rPr>
        <w:t>Loveluck</w:t>
      </w:r>
      <w:proofErr w:type="spellEnd"/>
      <w:r w:rsidRPr="00762FD2">
        <w:rPr>
          <w:rFonts w:cstheme="minorHAnsi"/>
        </w:rPr>
        <w:t xml:space="preserve">, Christopher P., Michael McCormick, Nicole E. Spaulding, Heather Clifford, Michael J. Handley, </w:t>
      </w:r>
      <w:r w:rsidR="00762FD2">
        <w:rPr>
          <w:rFonts w:cstheme="minorHAnsi"/>
        </w:rPr>
        <w:br/>
        <w:t xml:space="preserve">               </w:t>
      </w:r>
      <w:r w:rsidRPr="00762FD2">
        <w:rPr>
          <w:rFonts w:cstheme="minorHAnsi"/>
        </w:rPr>
        <w:t>Laura Hartman, Helene Hoffmann, et al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“Alpine Ice-Core Evidence for the Transformation of th</w:t>
      </w:r>
      <w:r w:rsidR="00762FD2">
        <w:rPr>
          <w:rFonts w:cstheme="minorHAnsi"/>
        </w:rPr>
        <w:t xml:space="preserve">e   </w:t>
      </w:r>
      <w:r w:rsidR="00762FD2">
        <w:rPr>
          <w:rFonts w:cstheme="minorHAnsi"/>
        </w:rPr>
        <w:br/>
        <w:t xml:space="preserve">               </w:t>
      </w:r>
      <w:r w:rsidRPr="00762FD2">
        <w:rPr>
          <w:rFonts w:cstheme="minorHAnsi"/>
        </w:rPr>
        <w:t>European Monetary System, AD 640–670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” </w:t>
      </w:r>
      <w:r w:rsidRPr="00762FD2">
        <w:rPr>
          <w:rFonts w:cstheme="minorHAnsi"/>
          <w:i/>
          <w:iCs/>
        </w:rPr>
        <w:t>Antiquity</w:t>
      </w:r>
      <w:r w:rsidRPr="00762FD2">
        <w:rPr>
          <w:rFonts w:cstheme="minorHAnsi"/>
        </w:rPr>
        <w:t xml:space="preserve"> 92, no. 366 (2018): 1571–85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</w:t>
      </w:r>
      <w:r w:rsidR="00762FD2">
        <w:rPr>
          <w:rFonts w:cstheme="minorHAnsi"/>
        </w:rPr>
        <w:t xml:space="preserve"> </w:t>
      </w:r>
      <w:r w:rsidR="00762FD2">
        <w:rPr>
          <w:rFonts w:cstheme="minorHAnsi"/>
        </w:rPr>
        <w:br/>
        <w:t xml:space="preserve">               </w:t>
      </w:r>
      <w:r w:rsidRPr="00762FD2">
        <w:rPr>
          <w:rFonts w:cstheme="minorHAnsi"/>
        </w:rPr>
        <w:t>doi:10.15184/aqy.2018.110</w:t>
      </w:r>
      <w:r w:rsidRPr="00762FD2">
        <w:rPr>
          <w:rFonts w:cstheme="minorHAnsi"/>
          <w:u w:val="single"/>
        </w:rPr>
        <w:t>.</w:t>
      </w:r>
      <w:bookmarkStart w:id="7" w:name="_Hlk52552415"/>
      <w:bookmarkEnd w:id="6"/>
      <w:r w:rsidR="00762FD2">
        <w:rPr>
          <w:rFonts w:cstheme="minorHAnsi"/>
        </w:rPr>
        <w:br/>
      </w:r>
      <w:r w:rsidRPr="00762FD2">
        <w:rPr>
          <w:rFonts w:cstheme="minorHAnsi"/>
          <w:u w:val="single"/>
        </w:rPr>
        <w:t>Stott</w:t>
      </w:r>
      <w:r w:rsidRPr="00762FD2">
        <w:rPr>
          <w:rFonts w:cstheme="minorHAnsi"/>
        </w:rPr>
        <w:t>, Rebecca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“A Hazy Shade of Winter,” </w:t>
      </w:r>
      <w:r w:rsidRPr="00762FD2">
        <w:rPr>
          <w:rFonts w:cstheme="minorHAnsi"/>
          <w:i/>
          <w:iCs/>
        </w:rPr>
        <w:t>A Point of View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BBC Radio 4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Podcast </w:t>
      </w:r>
      <w:r w:rsidRPr="00762FD2">
        <w:rPr>
          <w:rFonts w:cstheme="minorHAnsi"/>
        </w:rPr>
        <w:tab/>
        <w:t>audio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July 26, 2020</w:t>
      </w:r>
      <w:r w:rsidRPr="00762FD2">
        <w:rPr>
          <w:rFonts w:cstheme="minorHAnsi"/>
          <w:u w:val="single"/>
        </w:rPr>
        <w:t>.</w:t>
      </w:r>
      <w:r w:rsidRPr="00762FD2">
        <w:rPr>
          <w:rFonts w:cstheme="minorHAnsi"/>
        </w:rPr>
        <w:t xml:space="preserve"> </w:t>
      </w:r>
      <w:r w:rsidR="00762FD2">
        <w:rPr>
          <w:rFonts w:cstheme="minorHAnsi"/>
        </w:rPr>
        <w:t xml:space="preserve">  </w:t>
      </w:r>
      <w:r w:rsidR="00762FD2">
        <w:rPr>
          <w:rFonts w:cstheme="minorHAnsi"/>
        </w:rPr>
        <w:br/>
      </w:r>
      <w:bookmarkStart w:id="8" w:name="_Hlk61431450"/>
      <w:bookmarkStart w:id="9" w:name="_Hlk61430732"/>
      <w:r w:rsidR="00762FD2">
        <w:rPr>
          <w:rFonts w:cstheme="minorHAnsi"/>
        </w:rPr>
        <w:t xml:space="preserve">              </w:t>
      </w:r>
      <w:bookmarkEnd w:id="8"/>
      <w:r w:rsidR="00762FD2">
        <w:rPr>
          <w:rFonts w:cstheme="minorHAnsi"/>
        </w:rPr>
        <w:t xml:space="preserve"> </w:t>
      </w:r>
      <w:bookmarkEnd w:id="9"/>
      <w:r w:rsidRPr="00762FD2">
        <w:rPr>
          <w:rFonts w:cstheme="minorHAnsi"/>
        </w:rPr>
        <w:t>https://www.bbc.co.uk/programmes/m000l2ct</w:t>
      </w:r>
      <w:r w:rsidR="00762FD2" w:rsidRPr="00762FD2">
        <w:rPr>
          <w:rFonts w:cstheme="minorHAnsi"/>
          <w:u w:val="single"/>
        </w:rPr>
        <w:t>.</w:t>
      </w:r>
      <w:bookmarkEnd w:id="7"/>
    </w:p>
    <w:p w14:paraId="3D016BD1" w14:textId="0A7577B3" w:rsidR="00762FD2" w:rsidRPr="00730D64" w:rsidRDefault="00AE52C9" w:rsidP="00730D64">
      <w:r w:rsidRPr="00AE52C9">
        <w:t>Knowing the purpose and basics of Chicago style can help in developing a foundation</w:t>
      </w:r>
      <w:r w:rsidR="00730D64">
        <w:t xml:space="preserve"> for using it</w:t>
      </w:r>
      <w:r w:rsidRPr="00AE52C9">
        <w:t xml:space="preserve">, but the best way to learn is </w:t>
      </w:r>
      <w:r w:rsidR="001C210C">
        <w:t xml:space="preserve">to </w:t>
      </w:r>
      <w:r w:rsidRPr="00AE52C9">
        <w:t>practice! Though it may seem tedious at first, it does get easier</w:t>
      </w:r>
      <w:r w:rsidR="00730D64">
        <w:t xml:space="preserve"> over time</w:t>
      </w:r>
      <w:r w:rsidRPr="00AE52C9">
        <w:t xml:space="preserve">. </w:t>
      </w:r>
      <w:proofErr w:type="gramStart"/>
      <w:r w:rsidRPr="00AE52C9">
        <w:t>Don’t</w:t>
      </w:r>
      <w:proofErr w:type="gramEnd"/>
      <w:r w:rsidRPr="00AE52C9">
        <w:t xml:space="preserve"> hesitate to </w:t>
      </w:r>
      <w:r w:rsidR="00730D64">
        <w:t xml:space="preserve">reach out to </w:t>
      </w:r>
      <w:r w:rsidRPr="00AE52C9">
        <w:t xml:space="preserve">your professors or the Writing Center if you feel like </w:t>
      </w:r>
      <w:r w:rsidR="001C210C">
        <w:t xml:space="preserve">you </w:t>
      </w:r>
      <w:r w:rsidRPr="00AE52C9">
        <w:t xml:space="preserve">need more support while learning how to use this style. </w:t>
      </w:r>
      <w:r w:rsidR="00762FD2" w:rsidRPr="00AE52C9">
        <w:t>Below are additional sources that can be consulted for more specific information on the style if needed.</w:t>
      </w:r>
      <w:r w:rsidR="0080546C">
        <w:br/>
      </w:r>
    </w:p>
    <w:p w14:paraId="39B5277C" w14:textId="77777777" w:rsidR="00E64270" w:rsidRDefault="00E64270" w:rsidP="006018F4">
      <w:pPr>
        <w:jc w:val="center"/>
        <w:rPr>
          <w:b/>
          <w:bCs/>
        </w:rPr>
      </w:pPr>
    </w:p>
    <w:p w14:paraId="45D1ECB0" w14:textId="77777777" w:rsidR="00E64270" w:rsidRDefault="00E64270" w:rsidP="006018F4">
      <w:pPr>
        <w:jc w:val="center"/>
        <w:rPr>
          <w:b/>
          <w:bCs/>
        </w:rPr>
      </w:pPr>
    </w:p>
    <w:p w14:paraId="2D8C9258" w14:textId="77777777" w:rsidR="00E64270" w:rsidRDefault="00E64270" w:rsidP="006018F4">
      <w:pPr>
        <w:jc w:val="center"/>
        <w:rPr>
          <w:b/>
          <w:bCs/>
        </w:rPr>
      </w:pPr>
    </w:p>
    <w:p w14:paraId="475C9DAF" w14:textId="77777777" w:rsidR="00E64270" w:rsidRDefault="00E64270" w:rsidP="006018F4">
      <w:pPr>
        <w:jc w:val="center"/>
        <w:rPr>
          <w:b/>
          <w:bCs/>
        </w:rPr>
      </w:pPr>
    </w:p>
    <w:p w14:paraId="522244C3" w14:textId="77777777" w:rsidR="00E64270" w:rsidRDefault="00E64270" w:rsidP="006018F4">
      <w:pPr>
        <w:jc w:val="center"/>
        <w:rPr>
          <w:b/>
          <w:bCs/>
        </w:rPr>
      </w:pPr>
    </w:p>
    <w:p w14:paraId="3E7304A8" w14:textId="77777777" w:rsidR="00E64270" w:rsidRDefault="00E64270" w:rsidP="006018F4">
      <w:pPr>
        <w:jc w:val="center"/>
        <w:rPr>
          <w:b/>
          <w:bCs/>
        </w:rPr>
      </w:pPr>
    </w:p>
    <w:p w14:paraId="0C21834E" w14:textId="77777777" w:rsidR="00E64270" w:rsidRDefault="00E64270" w:rsidP="006018F4">
      <w:pPr>
        <w:jc w:val="center"/>
        <w:rPr>
          <w:b/>
          <w:bCs/>
        </w:rPr>
      </w:pPr>
    </w:p>
    <w:p w14:paraId="15D46BCD" w14:textId="77777777" w:rsidR="00E64270" w:rsidRDefault="00E64270" w:rsidP="006018F4">
      <w:pPr>
        <w:jc w:val="center"/>
        <w:rPr>
          <w:b/>
          <w:bCs/>
        </w:rPr>
      </w:pPr>
    </w:p>
    <w:p w14:paraId="3AD07939" w14:textId="77777777" w:rsidR="00E64270" w:rsidRDefault="00E64270" w:rsidP="006018F4">
      <w:pPr>
        <w:jc w:val="center"/>
        <w:rPr>
          <w:b/>
          <w:bCs/>
        </w:rPr>
      </w:pPr>
    </w:p>
    <w:p w14:paraId="79C683EE" w14:textId="77777777" w:rsidR="00E64270" w:rsidRDefault="00E64270" w:rsidP="006018F4">
      <w:pPr>
        <w:jc w:val="center"/>
        <w:rPr>
          <w:b/>
          <w:bCs/>
        </w:rPr>
      </w:pPr>
    </w:p>
    <w:p w14:paraId="1B20057A" w14:textId="77777777" w:rsidR="00E64270" w:rsidRDefault="00E64270" w:rsidP="006018F4">
      <w:pPr>
        <w:jc w:val="center"/>
        <w:rPr>
          <w:b/>
          <w:bCs/>
        </w:rPr>
      </w:pPr>
    </w:p>
    <w:p w14:paraId="3AD99064" w14:textId="77777777" w:rsidR="00E64270" w:rsidRDefault="00E64270" w:rsidP="006018F4">
      <w:pPr>
        <w:jc w:val="center"/>
        <w:rPr>
          <w:b/>
          <w:bCs/>
        </w:rPr>
      </w:pPr>
    </w:p>
    <w:p w14:paraId="6288F3BB" w14:textId="367ED5B7" w:rsidR="000530E9" w:rsidRPr="000530E9" w:rsidRDefault="000530E9" w:rsidP="006018F4">
      <w:pPr>
        <w:jc w:val="center"/>
        <w:rPr>
          <w:b/>
          <w:bCs/>
        </w:rPr>
      </w:pPr>
      <w:r>
        <w:rPr>
          <w:b/>
          <w:bCs/>
        </w:rPr>
        <w:lastRenderedPageBreak/>
        <w:t>Works Cited and Further Reading</w:t>
      </w:r>
    </w:p>
    <w:p w14:paraId="0F40157A" w14:textId="08B282DA" w:rsidR="00730D64" w:rsidRPr="00730D64" w:rsidRDefault="0083040D" w:rsidP="00730D64">
      <w:r w:rsidRPr="0083040D">
        <w:t xml:space="preserve">"Chicago Manual of Style 17th Edition." Purdue Online Writing Lab, Purdue </w:t>
      </w:r>
      <w:proofErr w:type="gramStart"/>
      <w:r w:rsidRPr="0083040D">
        <w:t xml:space="preserve">University, </w:t>
      </w:r>
      <w:r>
        <w:t xml:space="preserve">  </w:t>
      </w:r>
      <w:proofErr w:type="gramEnd"/>
      <w:r>
        <w:t xml:space="preserve"> </w:t>
      </w:r>
      <w:r>
        <w:br/>
      </w:r>
      <w:r>
        <w:br/>
        <w:t xml:space="preserve">               o</w:t>
      </w:r>
      <w:bookmarkStart w:id="10" w:name="_Hlk61441914"/>
      <w:r>
        <w:t>wl.purdue.edu/owl/research_and_citation_manual_17</w:t>
      </w:r>
      <w:r w:rsidRPr="0083040D">
        <w:rPr>
          <w:vertAlign w:val="superscript"/>
        </w:rPr>
        <w:t>th</w:t>
      </w:r>
      <w:r>
        <w:t>_edition/cmos_formatting_and_style_</w:t>
      </w:r>
      <w:r>
        <w:br/>
        <w:t xml:space="preserve">               </w:t>
      </w:r>
      <w:r>
        <w:br/>
      </w:r>
      <w:r>
        <w:tab/>
        <w:t>guide/Chicago_manual_of_style_17</w:t>
      </w:r>
      <w:r w:rsidRPr="0083040D">
        <w:rPr>
          <w:vertAlign w:val="superscript"/>
        </w:rPr>
        <w:t>th</w:t>
      </w:r>
      <w:r>
        <w:t>_edition.html.</w:t>
      </w:r>
      <w:r>
        <w:br/>
      </w:r>
      <w:bookmarkEnd w:id="10"/>
      <w:r>
        <w:br/>
      </w:r>
      <w:r w:rsidR="00730D64" w:rsidRPr="00730D64">
        <w:t xml:space="preserve">"Notes and Bibliography: Sample Citations." The Chicago Manual of Style Online, The Chicago Manual of </w:t>
      </w:r>
      <w:r w:rsidR="00730D64">
        <w:br/>
      </w:r>
      <w:r w:rsidR="00730D64">
        <w:br/>
      </w:r>
      <w:bookmarkStart w:id="11" w:name="_Hlk61431519"/>
      <w:r w:rsidR="00730D64" w:rsidRPr="00730D64">
        <w:t xml:space="preserve">              </w:t>
      </w:r>
      <w:bookmarkEnd w:id="11"/>
      <w:r w:rsidR="00730D64" w:rsidRPr="00730D64">
        <w:t>Style Online, www.chicagomanualofstyle.org/tools_citationguide/citation-guide-1.html.</w:t>
      </w:r>
      <w:r w:rsidR="00730D64">
        <w:br/>
      </w:r>
      <w:r w:rsidR="00360E4B">
        <w:br/>
      </w:r>
      <w:r w:rsidR="00360E4B" w:rsidRPr="00360E4B">
        <w:t>The Chicago Manual of Style Online, The Chicago Manual of Style,</w:t>
      </w:r>
      <w:r w:rsidR="00360E4B">
        <w:t xml:space="preserve"> </w:t>
      </w:r>
      <w:r w:rsidR="00360E4B">
        <w:br/>
      </w:r>
      <w:r w:rsidR="00360E4B">
        <w:br/>
        <w:t xml:space="preserve">              </w:t>
      </w:r>
      <w:r w:rsidR="00360E4B" w:rsidRPr="00360E4B">
        <w:t>www.chicagomanualofstyle.org/home.html.</w:t>
      </w:r>
    </w:p>
    <w:p w14:paraId="05D7B102" w14:textId="2884ACD5" w:rsidR="00730D64" w:rsidRPr="00730D64" w:rsidRDefault="00730D64" w:rsidP="00730D64"/>
    <w:p w14:paraId="6C633B4B" w14:textId="3EAE4872" w:rsidR="00FA6BC1" w:rsidRPr="00730D64" w:rsidRDefault="00FA6BC1" w:rsidP="00730D64"/>
    <w:sectPr w:rsidR="00FA6BC1" w:rsidRPr="0073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2451F" w14:textId="77777777" w:rsidR="003B69D2" w:rsidRDefault="003B69D2" w:rsidP="007B50AF">
      <w:pPr>
        <w:spacing w:after="0" w:line="240" w:lineRule="auto"/>
      </w:pPr>
      <w:r>
        <w:separator/>
      </w:r>
    </w:p>
  </w:endnote>
  <w:endnote w:type="continuationSeparator" w:id="0">
    <w:p w14:paraId="1B2DF98F" w14:textId="77777777" w:rsidR="003B69D2" w:rsidRDefault="003B69D2" w:rsidP="007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082A9" w14:textId="77777777" w:rsidR="003B69D2" w:rsidRDefault="003B69D2" w:rsidP="007B50AF">
      <w:pPr>
        <w:spacing w:after="0" w:line="240" w:lineRule="auto"/>
      </w:pPr>
      <w:r>
        <w:separator/>
      </w:r>
    </w:p>
  </w:footnote>
  <w:footnote w:type="continuationSeparator" w:id="0">
    <w:p w14:paraId="39094E3D" w14:textId="77777777" w:rsidR="003B69D2" w:rsidRDefault="003B69D2" w:rsidP="007B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2A05"/>
    <w:multiLevelType w:val="hybridMultilevel"/>
    <w:tmpl w:val="6678A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348"/>
    <w:multiLevelType w:val="hybridMultilevel"/>
    <w:tmpl w:val="2D5200F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645C0"/>
    <w:multiLevelType w:val="hybridMultilevel"/>
    <w:tmpl w:val="18723F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C62EE"/>
    <w:multiLevelType w:val="hybridMultilevel"/>
    <w:tmpl w:val="33D6D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35BED"/>
    <w:multiLevelType w:val="hybridMultilevel"/>
    <w:tmpl w:val="A0AC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0B0D"/>
    <w:multiLevelType w:val="hybridMultilevel"/>
    <w:tmpl w:val="5996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3528"/>
    <w:multiLevelType w:val="hybridMultilevel"/>
    <w:tmpl w:val="045A5B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6E456D"/>
    <w:multiLevelType w:val="hybridMultilevel"/>
    <w:tmpl w:val="3B40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6E69"/>
    <w:multiLevelType w:val="hybridMultilevel"/>
    <w:tmpl w:val="00AE5D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0203E"/>
    <w:multiLevelType w:val="hybridMultilevel"/>
    <w:tmpl w:val="67BA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7386"/>
    <w:multiLevelType w:val="hybridMultilevel"/>
    <w:tmpl w:val="7D4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44816"/>
    <w:multiLevelType w:val="hybridMultilevel"/>
    <w:tmpl w:val="82FC91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427C0"/>
    <w:multiLevelType w:val="hybridMultilevel"/>
    <w:tmpl w:val="65AAB5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70"/>
    <w:rsid w:val="000359DC"/>
    <w:rsid w:val="000530E9"/>
    <w:rsid w:val="00074512"/>
    <w:rsid w:val="000F0F78"/>
    <w:rsid w:val="00187D91"/>
    <w:rsid w:val="001C210C"/>
    <w:rsid w:val="00273D80"/>
    <w:rsid w:val="0028526D"/>
    <w:rsid w:val="00360E4B"/>
    <w:rsid w:val="003B69D2"/>
    <w:rsid w:val="004B3306"/>
    <w:rsid w:val="004F54B0"/>
    <w:rsid w:val="0051468B"/>
    <w:rsid w:val="005222B7"/>
    <w:rsid w:val="00571669"/>
    <w:rsid w:val="00584CF5"/>
    <w:rsid w:val="006018F4"/>
    <w:rsid w:val="00647DA0"/>
    <w:rsid w:val="006914C1"/>
    <w:rsid w:val="00730D64"/>
    <w:rsid w:val="00762FD2"/>
    <w:rsid w:val="0078128D"/>
    <w:rsid w:val="007B50AF"/>
    <w:rsid w:val="0080546C"/>
    <w:rsid w:val="008062F9"/>
    <w:rsid w:val="0083040D"/>
    <w:rsid w:val="00954AA3"/>
    <w:rsid w:val="00967B2E"/>
    <w:rsid w:val="009C0AFB"/>
    <w:rsid w:val="00A90F5E"/>
    <w:rsid w:val="00AC1F9E"/>
    <w:rsid w:val="00AD2D1E"/>
    <w:rsid w:val="00AE52C9"/>
    <w:rsid w:val="00AF6392"/>
    <w:rsid w:val="00B61816"/>
    <w:rsid w:val="00B8533F"/>
    <w:rsid w:val="00C33675"/>
    <w:rsid w:val="00C40DA0"/>
    <w:rsid w:val="00D4795A"/>
    <w:rsid w:val="00DB4C7C"/>
    <w:rsid w:val="00E64270"/>
    <w:rsid w:val="00E71B3C"/>
    <w:rsid w:val="00FA6BC1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B346"/>
  <w15:chartTrackingRefBased/>
  <w15:docId w15:val="{B9ACB554-0F8F-4C76-9D6E-3BA96A2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B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0A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50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50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0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80"/>
  </w:style>
  <w:style w:type="paragraph" w:styleId="Footer">
    <w:name w:val="footer"/>
    <w:basedOn w:val="Normal"/>
    <w:link w:val="FooterChar"/>
    <w:uiPriority w:val="99"/>
    <w:unhideWhenUsed/>
    <w:rsid w:val="0027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vch/warks/vol3/pp1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Bekah</dc:creator>
  <cp:keywords/>
  <dc:description/>
  <cp:lastModifiedBy>Johnson, Rebekah</cp:lastModifiedBy>
  <cp:revision>20</cp:revision>
  <dcterms:created xsi:type="dcterms:W3CDTF">2020-11-04T22:51:00Z</dcterms:created>
  <dcterms:modified xsi:type="dcterms:W3CDTF">2021-01-15T18:20:00Z</dcterms:modified>
</cp:coreProperties>
</file>